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1BC84D2B"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BF4EE3">
        <w:rPr>
          <w:rFonts w:ascii="Verdana" w:hAnsi="Verdana" w:cs="Arial"/>
          <w:b/>
          <w:sz w:val="18"/>
          <w:szCs w:val="18"/>
        </w:rPr>
        <w:t>19</w:t>
      </w:r>
      <w:r w:rsidR="001B63CF">
        <w:rPr>
          <w:rFonts w:ascii="Verdana" w:hAnsi="Verdana" w:cs="Arial"/>
          <w:b/>
          <w:sz w:val="18"/>
          <w:szCs w:val="18"/>
        </w:rPr>
        <w:t>2</w:t>
      </w:r>
      <w:r w:rsidR="00622BAC">
        <w:rPr>
          <w:rFonts w:ascii="Verdana" w:hAnsi="Verdana" w:cs="Arial"/>
          <w:b/>
          <w:sz w:val="18"/>
          <w:szCs w:val="18"/>
        </w:rPr>
        <w:t>.2025</w:t>
      </w:r>
      <w:r w:rsidR="007E0207">
        <w:rPr>
          <w:rFonts w:ascii="Verdana" w:hAnsi="Verdana" w:cs="Arial"/>
          <w:b/>
          <w:sz w:val="18"/>
          <w:szCs w:val="18"/>
        </w:rPr>
        <w:t>.</w:t>
      </w:r>
      <w:r w:rsidR="007069AA">
        <w:rPr>
          <w:rFonts w:ascii="Verdana" w:hAnsi="Verdana" w:cs="Arial"/>
          <w:b/>
          <w:sz w:val="18"/>
          <w:szCs w:val="18"/>
        </w:rPr>
        <w:t>AT.</w:t>
      </w:r>
      <w:r w:rsidR="00BF4EE3">
        <w:rPr>
          <w:rFonts w:ascii="Verdana" w:hAnsi="Verdana" w:cs="Arial"/>
          <w:b/>
          <w:sz w:val="18"/>
          <w:szCs w:val="18"/>
        </w:rPr>
        <w:t>7</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349E9C7D"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1B63CF">
        <w:rPr>
          <w:rFonts w:ascii="Verdana" w:hAnsi="Verdana" w:cs="FuturaMdPL-Regular"/>
          <w:b/>
          <w:smallCaps/>
          <w:color w:val="000000"/>
          <w:sz w:val="20"/>
        </w:rPr>
        <w:t>Koniecpol</w:t>
      </w:r>
      <w:r w:rsidRPr="007069AA">
        <w:rPr>
          <w:rFonts w:ascii="Verdana" w:hAnsi="Verdana" w:cs="FuturaMdPL-Regular"/>
          <w:b/>
          <w:sz w:val="20"/>
        </w:rPr>
        <w:t>,</w:t>
      </w:r>
      <w:r w:rsidR="004C306D" w:rsidRPr="007069AA">
        <w:rPr>
          <w:rFonts w:ascii="Verdana" w:hAnsi="Verdana" w:cs="FuturaMdPL-Regular"/>
          <w:sz w:val="20"/>
        </w:rPr>
        <w:t xml:space="preserve"> powiat </w:t>
      </w:r>
      <w:r w:rsidR="007069AA" w:rsidRPr="007069AA">
        <w:rPr>
          <w:rFonts w:ascii="Verdana" w:hAnsi="Verdana" w:cs="FuturaMdPL-Regular"/>
          <w:sz w:val="20"/>
        </w:rPr>
        <w:t>częstochowski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269618B1"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BF4EE3">
        <w:rPr>
          <w:rFonts w:ascii="Verdana" w:hAnsi="Verdana" w:cs="FuturaMdPL-Regular"/>
          <w:sz w:val="18"/>
          <w:szCs w:val="18"/>
        </w:rPr>
        <w:t>19</w:t>
      </w:r>
      <w:r w:rsidR="001B63CF">
        <w:rPr>
          <w:rFonts w:ascii="Verdana" w:hAnsi="Verdana" w:cs="FuturaMdPL-Regular"/>
          <w:sz w:val="18"/>
          <w:szCs w:val="18"/>
        </w:rPr>
        <w:t>2</w:t>
      </w:r>
      <w:r w:rsidR="00C201F4">
        <w:rPr>
          <w:rFonts w:ascii="Verdana" w:hAnsi="Verdana" w:cs="FuturaMdPL-Regular"/>
          <w:sz w:val="18"/>
          <w:szCs w:val="18"/>
        </w:rPr>
        <w:t>.2025</w:t>
      </w:r>
      <w:r w:rsidR="007E0207">
        <w:rPr>
          <w:rFonts w:ascii="Verdana" w:hAnsi="Verdana" w:cs="FuturaMdPL-Regular"/>
          <w:sz w:val="18"/>
          <w:szCs w:val="18"/>
        </w:rPr>
        <w:t>.</w:t>
      </w:r>
      <w:r w:rsidR="007069AA">
        <w:rPr>
          <w:rFonts w:ascii="Verdana" w:hAnsi="Verdana" w:cs="FuturaMdPL-Regular"/>
          <w:sz w:val="18"/>
          <w:szCs w:val="18"/>
        </w:rPr>
        <w:t>AT.</w:t>
      </w:r>
      <w:r w:rsidR="00BF4EE3">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8C7D98">
        <w:rPr>
          <w:rFonts w:ascii="Verdana" w:hAnsi="Verdana" w:cs="FuturaMdPL-Regular"/>
          <w:sz w:val="18"/>
          <w:szCs w:val="18"/>
        </w:rPr>
        <w:t xml:space="preserve">Miasta i </w:t>
      </w:r>
      <w:r w:rsidR="007E0207">
        <w:rPr>
          <w:rFonts w:ascii="Verdana" w:hAnsi="Verdana" w:cs="FuturaMdPL-Regular"/>
          <w:sz w:val="18"/>
          <w:szCs w:val="18"/>
        </w:rPr>
        <w:t xml:space="preserve">Gminy </w:t>
      </w:r>
      <w:r w:rsidR="008C7D98">
        <w:rPr>
          <w:rFonts w:ascii="Verdana" w:hAnsi="Verdana" w:cs="FuturaMdPL-Regular"/>
          <w:sz w:val="18"/>
          <w:szCs w:val="18"/>
        </w:rPr>
        <w:t>Koniecpol</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D91A16">
        <w:rPr>
          <w:rFonts w:ascii="Verdana" w:hAnsi="Verdana" w:cs="FuturaMdPL-Regular"/>
          <w:b/>
          <w:sz w:val="18"/>
          <w:szCs w:val="18"/>
        </w:rPr>
        <w:t>07.11</w:t>
      </w:r>
      <w:r w:rsidR="001A526E">
        <w:rPr>
          <w:rFonts w:ascii="Verdana" w:hAnsi="Verdana" w:cs="FuturaMdPL-Regular"/>
          <w:b/>
          <w:sz w:val="18"/>
          <w:szCs w:val="18"/>
        </w:rPr>
        <w:t>.2025</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(t.j.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1790EBD1" w14:textId="77777777" w:rsidR="00C67D70" w:rsidRDefault="00C67D70" w:rsidP="00C67D70">
      <w:pPr>
        <w:pStyle w:val="Akapitzlist"/>
        <w:autoSpaceDE w:val="0"/>
        <w:autoSpaceDN w:val="0"/>
        <w:adjustRightInd w:val="0"/>
        <w:spacing w:line="240" w:lineRule="auto"/>
        <w:ind w:firstLine="0"/>
        <w:jc w:val="both"/>
        <w:rPr>
          <w:rFonts w:ascii="Verdana" w:hAnsi="Verdana"/>
          <w:color w:val="000000"/>
          <w:sz w:val="18"/>
          <w:szCs w:val="18"/>
        </w:rPr>
      </w:pPr>
    </w:p>
    <w:tbl>
      <w:tblPr>
        <w:tblW w:w="7295" w:type="dxa"/>
        <w:jc w:val="center"/>
        <w:tblCellMar>
          <w:left w:w="70" w:type="dxa"/>
          <w:right w:w="70" w:type="dxa"/>
        </w:tblCellMar>
        <w:tblLook w:val="04A0" w:firstRow="1" w:lastRow="0" w:firstColumn="1" w:lastColumn="0" w:noHBand="0" w:noVBand="1"/>
      </w:tblPr>
      <w:tblGrid>
        <w:gridCol w:w="341"/>
        <w:gridCol w:w="1209"/>
        <w:gridCol w:w="708"/>
        <w:gridCol w:w="993"/>
        <w:gridCol w:w="605"/>
        <w:gridCol w:w="642"/>
        <w:gridCol w:w="642"/>
        <w:gridCol w:w="642"/>
        <w:gridCol w:w="871"/>
        <w:gridCol w:w="642"/>
      </w:tblGrid>
      <w:tr w:rsidR="00BF4EE3" w:rsidRPr="00BF4EE3" w14:paraId="5643F991" w14:textId="77777777" w:rsidTr="008C7D98">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6A9BB1EA"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Lp</w:t>
            </w:r>
          </w:p>
        </w:tc>
        <w:tc>
          <w:tcPr>
            <w:tcW w:w="1209" w:type="dxa"/>
            <w:tcBorders>
              <w:top w:val="single" w:sz="8" w:space="0" w:color="auto"/>
              <w:left w:val="nil"/>
              <w:bottom w:val="single" w:sz="8" w:space="0" w:color="auto"/>
              <w:right w:val="single" w:sz="4" w:space="0" w:color="auto"/>
            </w:tcBorders>
            <w:shd w:val="clear" w:color="000000" w:fill="C0C0C0"/>
            <w:noWrap/>
            <w:vAlign w:val="bottom"/>
            <w:hideMark/>
          </w:tcPr>
          <w:p w14:paraId="72053BD1"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obręb</w:t>
            </w:r>
          </w:p>
        </w:tc>
        <w:tc>
          <w:tcPr>
            <w:tcW w:w="708" w:type="dxa"/>
            <w:tcBorders>
              <w:top w:val="single" w:sz="8" w:space="0" w:color="auto"/>
              <w:left w:val="nil"/>
              <w:bottom w:val="single" w:sz="8" w:space="0" w:color="auto"/>
              <w:right w:val="single" w:sz="4" w:space="0" w:color="auto"/>
            </w:tcBorders>
            <w:shd w:val="clear" w:color="000000" w:fill="C0C0C0"/>
            <w:noWrap/>
            <w:vAlign w:val="bottom"/>
            <w:hideMark/>
          </w:tcPr>
          <w:p w14:paraId="4DD4AAA6"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nr dz.</w:t>
            </w:r>
          </w:p>
        </w:tc>
        <w:tc>
          <w:tcPr>
            <w:tcW w:w="993" w:type="dxa"/>
            <w:tcBorders>
              <w:top w:val="single" w:sz="8" w:space="0" w:color="auto"/>
              <w:left w:val="nil"/>
              <w:bottom w:val="single" w:sz="8" w:space="0" w:color="auto"/>
              <w:right w:val="single" w:sz="4" w:space="0" w:color="auto"/>
            </w:tcBorders>
            <w:shd w:val="clear" w:color="000000" w:fill="C0C0C0"/>
            <w:noWrap/>
            <w:vAlign w:val="bottom"/>
            <w:hideMark/>
          </w:tcPr>
          <w:p w14:paraId="72A38788"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pow. ewid.</w:t>
            </w:r>
          </w:p>
        </w:tc>
        <w:tc>
          <w:tcPr>
            <w:tcW w:w="605" w:type="dxa"/>
            <w:tcBorders>
              <w:top w:val="single" w:sz="8" w:space="0" w:color="auto"/>
              <w:left w:val="nil"/>
              <w:bottom w:val="single" w:sz="8" w:space="0" w:color="auto"/>
              <w:right w:val="single" w:sz="4" w:space="0" w:color="auto"/>
            </w:tcBorders>
            <w:shd w:val="clear" w:color="000000" w:fill="C0C0C0"/>
            <w:noWrap/>
            <w:vAlign w:val="bottom"/>
            <w:hideMark/>
          </w:tcPr>
          <w:p w14:paraId="06935576"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5D423674" w14:textId="1D8932B9"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RI</w:t>
            </w:r>
            <w:r w:rsidR="008C7D98">
              <w:rPr>
                <w:rFonts w:ascii="Arial Narrow" w:hAnsi="Arial Narrow"/>
                <w:b/>
                <w:bCs/>
                <w:sz w:val="20"/>
              </w:rPr>
              <w:t>Va</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502FEEE2" w14:textId="32470756" w:rsidR="00BF4EE3" w:rsidRPr="00BF4EE3" w:rsidRDefault="008C7D98" w:rsidP="00BF4EE3">
            <w:pPr>
              <w:spacing w:line="240" w:lineRule="auto"/>
              <w:ind w:firstLine="0"/>
              <w:jc w:val="center"/>
              <w:rPr>
                <w:rFonts w:ascii="Arial Narrow" w:hAnsi="Arial Narrow"/>
                <w:b/>
                <w:bCs/>
                <w:sz w:val="20"/>
              </w:rPr>
            </w:pPr>
            <w:r>
              <w:rPr>
                <w:rFonts w:ascii="Arial Narrow" w:hAnsi="Arial Narrow"/>
                <w:b/>
                <w:bCs/>
                <w:sz w:val="20"/>
              </w:rPr>
              <w:t>RIVb</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59EC3FC6" w14:textId="071D30EE" w:rsidR="00BF4EE3" w:rsidRPr="00BF4EE3" w:rsidRDefault="008C7D98" w:rsidP="00BF4EE3">
            <w:pPr>
              <w:spacing w:line="240" w:lineRule="auto"/>
              <w:ind w:firstLine="0"/>
              <w:jc w:val="center"/>
              <w:rPr>
                <w:rFonts w:ascii="Arial Narrow" w:hAnsi="Arial Narrow"/>
                <w:b/>
                <w:bCs/>
                <w:sz w:val="20"/>
              </w:rPr>
            </w:pPr>
            <w:r>
              <w:rPr>
                <w:rFonts w:ascii="Arial Narrow" w:hAnsi="Arial Narrow"/>
                <w:b/>
                <w:bCs/>
                <w:sz w:val="20"/>
              </w:rPr>
              <w:t>RV</w:t>
            </w:r>
          </w:p>
        </w:tc>
        <w:tc>
          <w:tcPr>
            <w:tcW w:w="871" w:type="dxa"/>
            <w:tcBorders>
              <w:top w:val="single" w:sz="8" w:space="0" w:color="auto"/>
              <w:left w:val="nil"/>
              <w:bottom w:val="single" w:sz="8" w:space="0" w:color="auto"/>
              <w:right w:val="single" w:sz="4" w:space="0" w:color="auto"/>
            </w:tcBorders>
            <w:shd w:val="clear" w:color="000000" w:fill="C0C0C0"/>
            <w:noWrap/>
            <w:vAlign w:val="bottom"/>
            <w:hideMark/>
          </w:tcPr>
          <w:p w14:paraId="57576971" w14:textId="09D8AA8E" w:rsidR="00BF4EE3" w:rsidRPr="00BF4EE3" w:rsidRDefault="008C7D98" w:rsidP="00BF4EE3">
            <w:pPr>
              <w:spacing w:line="240" w:lineRule="auto"/>
              <w:ind w:firstLine="0"/>
              <w:jc w:val="center"/>
              <w:rPr>
                <w:rFonts w:ascii="Arial Narrow" w:hAnsi="Arial Narrow"/>
                <w:b/>
                <w:bCs/>
                <w:sz w:val="20"/>
              </w:rPr>
            </w:pPr>
            <w:r>
              <w:rPr>
                <w:rFonts w:ascii="Arial Narrow" w:hAnsi="Arial Narrow"/>
                <w:b/>
                <w:bCs/>
                <w:sz w:val="20"/>
              </w:rPr>
              <w:t>W-RIVa</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4F74FE13" w14:textId="3B38D077" w:rsidR="00BF4EE3" w:rsidRPr="00BF4EE3" w:rsidRDefault="008C7D98" w:rsidP="00BF4EE3">
            <w:pPr>
              <w:spacing w:line="240" w:lineRule="auto"/>
              <w:ind w:firstLine="0"/>
              <w:jc w:val="center"/>
              <w:rPr>
                <w:rFonts w:ascii="Arial Narrow" w:hAnsi="Arial Narrow"/>
                <w:b/>
                <w:bCs/>
                <w:sz w:val="20"/>
              </w:rPr>
            </w:pPr>
            <w:r>
              <w:rPr>
                <w:rFonts w:ascii="Arial Narrow" w:hAnsi="Arial Narrow"/>
                <w:b/>
                <w:bCs/>
                <w:sz w:val="20"/>
              </w:rPr>
              <w:t>W-RV</w:t>
            </w:r>
          </w:p>
        </w:tc>
      </w:tr>
      <w:tr w:rsidR="00BF4EE3" w:rsidRPr="00BF4EE3" w14:paraId="1F88CBF9" w14:textId="77777777" w:rsidTr="008C7D98">
        <w:trPr>
          <w:trHeight w:val="270"/>
          <w:jc w:val="center"/>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08CA0147" w14:textId="77777777" w:rsidR="00BF4EE3" w:rsidRPr="00BF4EE3" w:rsidRDefault="00BF4EE3" w:rsidP="00BF4EE3">
            <w:pPr>
              <w:spacing w:line="240" w:lineRule="auto"/>
              <w:ind w:firstLine="0"/>
              <w:jc w:val="center"/>
              <w:rPr>
                <w:rFonts w:ascii="Arial Narrow" w:hAnsi="Arial Narrow"/>
                <w:sz w:val="20"/>
              </w:rPr>
            </w:pPr>
            <w:r w:rsidRPr="00BF4EE3">
              <w:rPr>
                <w:rFonts w:ascii="Arial Narrow" w:hAnsi="Arial Narrow"/>
                <w:sz w:val="20"/>
              </w:rPr>
              <w:t>1</w:t>
            </w:r>
          </w:p>
        </w:tc>
        <w:tc>
          <w:tcPr>
            <w:tcW w:w="1209" w:type="dxa"/>
            <w:tcBorders>
              <w:top w:val="single" w:sz="4" w:space="0" w:color="auto"/>
              <w:left w:val="nil"/>
              <w:bottom w:val="single" w:sz="4" w:space="0" w:color="auto"/>
              <w:right w:val="single" w:sz="4" w:space="0" w:color="auto"/>
            </w:tcBorders>
            <w:noWrap/>
            <w:vAlign w:val="bottom"/>
            <w:hideMark/>
          </w:tcPr>
          <w:p w14:paraId="489FACDA" w14:textId="7B83AD3E" w:rsidR="00BF4EE3" w:rsidRPr="00BF4EE3" w:rsidRDefault="008C7D98" w:rsidP="00BF4EE3">
            <w:pPr>
              <w:spacing w:line="240" w:lineRule="auto"/>
              <w:ind w:firstLine="0"/>
              <w:jc w:val="center"/>
              <w:rPr>
                <w:rFonts w:ascii="Arial Narrow" w:hAnsi="Arial Narrow"/>
                <w:sz w:val="20"/>
              </w:rPr>
            </w:pPr>
            <w:r>
              <w:rPr>
                <w:rFonts w:ascii="Arial Narrow" w:hAnsi="Arial Narrow"/>
                <w:sz w:val="20"/>
              </w:rPr>
              <w:t>Stanisławice</w:t>
            </w:r>
          </w:p>
        </w:tc>
        <w:tc>
          <w:tcPr>
            <w:tcW w:w="708" w:type="dxa"/>
            <w:tcBorders>
              <w:top w:val="single" w:sz="4" w:space="0" w:color="auto"/>
              <w:left w:val="nil"/>
              <w:bottom w:val="single" w:sz="4" w:space="0" w:color="auto"/>
              <w:right w:val="single" w:sz="4" w:space="0" w:color="auto"/>
            </w:tcBorders>
            <w:noWrap/>
            <w:vAlign w:val="bottom"/>
            <w:hideMark/>
          </w:tcPr>
          <w:p w14:paraId="30B6F98B" w14:textId="7FD617F0" w:rsidR="00BF4EE3" w:rsidRPr="00BF4EE3" w:rsidRDefault="008C7D98" w:rsidP="00BF4EE3">
            <w:pPr>
              <w:spacing w:line="240" w:lineRule="auto"/>
              <w:ind w:firstLine="0"/>
              <w:jc w:val="center"/>
              <w:rPr>
                <w:rFonts w:ascii="Arial Narrow" w:hAnsi="Arial Narrow"/>
                <w:sz w:val="20"/>
              </w:rPr>
            </w:pPr>
            <w:r>
              <w:rPr>
                <w:rFonts w:ascii="Arial Narrow" w:hAnsi="Arial Narrow"/>
                <w:sz w:val="20"/>
              </w:rPr>
              <w:t>59</w:t>
            </w:r>
          </w:p>
        </w:tc>
        <w:tc>
          <w:tcPr>
            <w:tcW w:w="993" w:type="dxa"/>
            <w:tcBorders>
              <w:top w:val="nil"/>
              <w:left w:val="nil"/>
              <w:bottom w:val="single" w:sz="4" w:space="0" w:color="auto"/>
              <w:right w:val="single" w:sz="4" w:space="0" w:color="auto"/>
            </w:tcBorders>
            <w:noWrap/>
            <w:vAlign w:val="bottom"/>
            <w:hideMark/>
          </w:tcPr>
          <w:p w14:paraId="769014DF" w14:textId="5EF05542" w:rsidR="00BF4EE3" w:rsidRPr="00BF4EE3" w:rsidRDefault="008C7D98" w:rsidP="00BF4EE3">
            <w:pPr>
              <w:spacing w:line="240" w:lineRule="auto"/>
              <w:ind w:firstLine="0"/>
              <w:jc w:val="center"/>
              <w:rPr>
                <w:rFonts w:ascii="Arial Narrow" w:hAnsi="Arial Narrow"/>
                <w:sz w:val="20"/>
              </w:rPr>
            </w:pPr>
            <w:r>
              <w:rPr>
                <w:rFonts w:ascii="Arial Narrow" w:hAnsi="Arial Narrow"/>
                <w:sz w:val="20"/>
              </w:rPr>
              <w:t>1,0700</w:t>
            </w:r>
          </w:p>
        </w:tc>
        <w:tc>
          <w:tcPr>
            <w:tcW w:w="605" w:type="dxa"/>
            <w:tcBorders>
              <w:top w:val="nil"/>
              <w:left w:val="nil"/>
              <w:bottom w:val="single" w:sz="4" w:space="0" w:color="auto"/>
              <w:right w:val="single" w:sz="4" w:space="0" w:color="auto"/>
            </w:tcBorders>
            <w:noWrap/>
            <w:vAlign w:val="bottom"/>
            <w:hideMark/>
          </w:tcPr>
          <w:p w14:paraId="107DA4E1" w14:textId="77777777" w:rsidR="00BF4EE3" w:rsidRPr="00BF4EE3" w:rsidRDefault="00BF4EE3" w:rsidP="00BF4EE3">
            <w:pPr>
              <w:spacing w:line="240" w:lineRule="auto"/>
              <w:ind w:firstLine="0"/>
              <w:jc w:val="center"/>
              <w:rPr>
                <w:rFonts w:ascii="Arial Narrow" w:hAnsi="Arial Narrow"/>
                <w:sz w:val="20"/>
              </w:rPr>
            </w:pPr>
            <w:r w:rsidRPr="00BF4EE3">
              <w:rPr>
                <w:rFonts w:ascii="Arial Narrow" w:hAnsi="Arial Narrow"/>
                <w:sz w:val="20"/>
              </w:rPr>
              <w:t>1/1</w:t>
            </w:r>
          </w:p>
        </w:tc>
        <w:tc>
          <w:tcPr>
            <w:tcW w:w="642" w:type="dxa"/>
            <w:tcBorders>
              <w:top w:val="nil"/>
              <w:left w:val="nil"/>
              <w:bottom w:val="single" w:sz="4" w:space="0" w:color="auto"/>
              <w:right w:val="single" w:sz="4" w:space="0" w:color="auto"/>
            </w:tcBorders>
            <w:noWrap/>
            <w:vAlign w:val="bottom"/>
            <w:hideMark/>
          </w:tcPr>
          <w:p w14:paraId="3F2AF493" w14:textId="4B7BDA71" w:rsidR="00BF4EE3" w:rsidRPr="00BF4EE3" w:rsidRDefault="008C7D98" w:rsidP="00BF4EE3">
            <w:pPr>
              <w:spacing w:line="240" w:lineRule="auto"/>
              <w:ind w:firstLine="0"/>
              <w:jc w:val="center"/>
              <w:rPr>
                <w:rFonts w:ascii="Arial Narrow" w:hAnsi="Arial Narrow"/>
                <w:sz w:val="20"/>
              </w:rPr>
            </w:pPr>
            <w:r>
              <w:rPr>
                <w:rFonts w:ascii="Arial Narrow" w:hAnsi="Arial Narrow"/>
                <w:sz w:val="20"/>
              </w:rPr>
              <w:t>0,4900</w:t>
            </w:r>
          </w:p>
        </w:tc>
        <w:tc>
          <w:tcPr>
            <w:tcW w:w="642" w:type="dxa"/>
            <w:tcBorders>
              <w:top w:val="nil"/>
              <w:left w:val="nil"/>
              <w:bottom w:val="single" w:sz="4" w:space="0" w:color="auto"/>
              <w:right w:val="single" w:sz="4" w:space="0" w:color="auto"/>
            </w:tcBorders>
            <w:noWrap/>
            <w:vAlign w:val="bottom"/>
            <w:hideMark/>
          </w:tcPr>
          <w:p w14:paraId="6DF58504" w14:textId="64ADB058" w:rsidR="00BF4EE3" w:rsidRPr="00BF4EE3" w:rsidRDefault="008C7D98" w:rsidP="00BF4EE3">
            <w:pPr>
              <w:spacing w:line="240" w:lineRule="auto"/>
              <w:ind w:firstLine="0"/>
              <w:jc w:val="center"/>
              <w:rPr>
                <w:rFonts w:ascii="Arial Narrow" w:hAnsi="Arial Narrow"/>
                <w:sz w:val="20"/>
              </w:rPr>
            </w:pPr>
            <w:r>
              <w:rPr>
                <w:rFonts w:ascii="Arial Narrow" w:hAnsi="Arial Narrow"/>
                <w:sz w:val="20"/>
              </w:rPr>
              <w:t>0,3000</w:t>
            </w:r>
          </w:p>
        </w:tc>
        <w:tc>
          <w:tcPr>
            <w:tcW w:w="642" w:type="dxa"/>
            <w:tcBorders>
              <w:top w:val="single" w:sz="4" w:space="0" w:color="auto"/>
              <w:left w:val="nil"/>
              <w:bottom w:val="single" w:sz="4" w:space="0" w:color="auto"/>
              <w:right w:val="single" w:sz="4" w:space="0" w:color="auto"/>
            </w:tcBorders>
            <w:noWrap/>
            <w:vAlign w:val="bottom"/>
            <w:hideMark/>
          </w:tcPr>
          <w:p w14:paraId="7EFCCD94" w14:textId="0185D430" w:rsidR="00BF4EE3" w:rsidRPr="00BF4EE3" w:rsidRDefault="008C7D98" w:rsidP="00BF4EE3">
            <w:pPr>
              <w:spacing w:line="240" w:lineRule="auto"/>
              <w:ind w:firstLine="0"/>
              <w:jc w:val="center"/>
              <w:rPr>
                <w:rFonts w:ascii="Arial Narrow" w:hAnsi="Arial Narrow"/>
                <w:sz w:val="20"/>
              </w:rPr>
            </w:pPr>
            <w:r>
              <w:rPr>
                <w:rFonts w:ascii="Arial Narrow" w:hAnsi="Arial Narrow"/>
                <w:sz w:val="20"/>
              </w:rPr>
              <w:t>0,2500</w:t>
            </w:r>
          </w:p>
        </w:tc>
        <w:tc>
          <w:tcPr>
            <w:tcW w:w="871" w:type="dxa"/>
            <w:tcBorders>
              <w:top w:val="single" w:sz="4" w:space="0" w:color="auto"/>
              <w:left w:val="nil"/>
              <w:bottom w:val="single" w:sz="4" w:space="0" w:color="auto"/>
              <w:right w:val="single" w:sz="4" w:space="0" w:color="auto"/>
            </w:tcBorders>
            <w:noWrap/>
            <w:vAlign w:val="bottom"/>
            <w:hideMark/>
          </w:tcPr>
          <w:p w14:paraId="4367B2F5" w14:textId="1EC62829" w:rsidR="00BF4EE3" w:rsidRPr="00BF4EE3" w:rsidRDefault="008C7D98" w:rsidP="00BF4EE3">
            <w:pPr>
              <w:spacing w:line="240" w:lineRule="auto"/>
              <w:ind w:firstLine="0"/>
              <w:jc w:val="center"/>
              <w:rPr>
                <w:rFonts w:ascii="Arial Narrow" w:hAnsi="Arial Narrow"/>
                <w:sz w:val="20"/>
              </w:rPr>
            </w:pPr>
            <w:r>
              <w:rPr>
                <w:rFonts w:ascii="Arial Narrow" w:hAnsi="Arial Narrow"/>
                <w:sz w:val="20"/>
              </w:rPr>
              <w:t>0,0140</w:t>
            </w:r>
          </w:p>
        </w:tc>
        <w:tc>
          <w:tcPr>
            <w:tcW w:w="642" w:type="dxa"/>
            <w:tcBorders>
              <w:top w:val="single" w:sz="4" w:space="0" w:color="auto"/>
              <w:left w:val="nil"/>
              <w:bottom w:val="single" w:sz="4" w:space="0" w:color="auto"/>
              <w:right w:val="single" w:sz="4" w:space="0" w:color="auto"/>
            </w:tcBorders>
            <w:noWrap/>
            <w:vAlign w:val="bottom"/>
            <w:hideMark/>
          </w:tcPr>
          <w:p w14:paraId="7C493525" w14:textId="3DEF5AE2" w:rsidR="00BF4EE3" w:rsidRPr="00BF4EE3" w:rsidRDefault="008C7D98" w:rsidP="00BF4EE3">
            <w:pPr>
              <w:spacing w:line="240" w:lineRule="auto"/>
              <w:ind w:firstLine="0"/>
              <w:jc w:val="center"/>
              <w:rPr>
                <w:rFonts w:ascii="Arial Narrow" w:hAnsi="Arial Narrow"/>
                <w:sz w:val="20"/>
              </w:rPr>
            </w:pPr>
            <w:r>
              <w:rPr>
                <w:rFonts w:ascii="Arial Narrow" w:hAnsi="Arial Narrow"/>
                <w:sz w:val="20"/>
              </w:rPr>
              <w:t>0,0160</w:t>
            </w:r>
          </w:p>
        </w:tc>
      </w:tr>
      <w:tr w:rsidR="008C7D98" w:rsidRPr="00BF4EE3" w14:paraId="3F493C8F" w14:textId="77777777" w:rsidTr="008C7D98">
        <w:trPr>
          <w:trHeight w:val="270"/>
          <w:jc w:val="center"/>
        </w:trPr>
        <w:tc>
          <w:tcPr>
            <w:tcW w:w="341" w:type="dxa"/>
            <w:tcBorders>
              <w:top w:val="nil"/>
              <w:left w:val="single" w:sz="4" w:space="0" w:color="auto"/>
              <w:bottom w:val="single" w:sz="4" w:space="0" w:color="auto"/>
              <w:right w:val="single" w:sz="4" w:space="0" w:color="auto"/>
            </w:tcBorders>
            <w:noWrap/>
            <w:vAlign w:val="bottom"/>
            <w:hideMark/>
          </w:tcPr>
          <w:p w14:paraId="5E05C8ED" w14:textId="77777777" w:rsidR="008C7D98" w:rsidRPr="00BF4EE3" w:rsidRDefault="008C7D98" w:rsidP="008C7D98">
            <w:pPr>
              <w:spacing w:line="240" w:lineRule="auto"/>
              <w:ind w:firstLine="0"/>
              <w:jc w:val="center"/>
              <w:rPr>
                <w:rFonts w:ascii="Arial Narrow" w:hAnsi="Arial Narrow"/>
                <w:sz w:val="20"/>
              </w:rPr>
            </w:pPr>
            <w:r w:rsidRPr="00BF4EE3">
              <w:rPr>
                <w:rFonts w:ascii="Arial Narrow" w:hAnsi="Arial Narrow"/>
                <w:sz w:val="20"/>
              </w:rPr>
              <w:t> </w:t>
            </w:r>
          </w:p>
        </w:tc>
        <w:tc>
          <w:tcPr>
            <w:tcW w:w="1209" w:type="dxa"/>
            <w:tcBorders>
              <w:top w:val="nil"/>
              <w:left w:val="nil"/>
              <w:bottom w:val="single" w:sz="4" w:space="0" w:color="auto"/>
              <w:right w:val="nil"/>
            </w:tcBorders>
            <w:noWrap/>
            <w:vAlign w:val="bottom"/>
            <w:hideMark/>
          </w:tcPr>
          <w:p w14:paraId="1EFA1227" w14:textId="77777777" w:rsidR="008C7D98" w:rsidRPr="00BF4EE3" w:rsidRDefault="008C7D98" w:rsidP="008C7D98">
            <w:pPr>
              <w:spacing w:line="240" w:lineRule="auto"/>
              <w:ind w:firstLine="0"/>
              <w:rPr>
                <w:rFonts w:ascii="Arial Narrow" w:hAnsi="Arial Narrow"/>
                <w:sz w:val="20"/>
              </w:rPr>
            </w:pPr>
            <w:r w:rsidRPr="00BF4EE3">
              <w:rPr>
                <w:rFonts w:ascii="Arial Narrow" w:hAnsi="Arial Narrow"/>
                <w:sz w:val="20"/>
              </w:rPr>
              <w:t>Razem</w:t>
            </w:r>
          </w:p>
        </w:tc>
        <w:tc>
          <w:tcPr>
            <w:tcW w:w="708" w:type="dxa"/>
            <w:tcBorders>
              <w:top w:val="nil"/>
              <w:left w:val="nil"/>
              <w:bottom w:val="single" w:sz="4" w:space="0" w:color="auto"/>
              <w:right w:val="single" w:sz="4" w:space="0" w:color="auto"/>
            </w:tcBorders>
            <w:noWrap/>
            <w:vAlign w:val="bottom"/>
            <w:hideMark/>
          </w:tcPr>
          <w:p w14:paraId="7A9724C7" w14:textId="77777777" w:rsidR="008C7D98" w:rsidRPr="00BF4EE3" w:rsidRDefault="008C7D98" w:rsidP="008C7D98">
            <w:pPr>
              <w:spacing w:line="240" w:lineRule="auto"/>
              <w:ind w:firstLine="0"/>
              <w:rPr>
                <w:rFonts w:ascii="Arial Narrow" w:hAnsi="Arial Narrow"/>
                <w:sz w:val="20"/>
              </w:rPr>
            </w:pPr>
            <w:r w:rsidRPr="00BF4EE3">
              <w:rPr>
                <w:rFonts w:ascii="Arial Narrow" w:hAnsi="Arial Narrow"/>
                <w:sz w:val="20"/>
              </w:rPr>
              <w:t> </w:t>
            </w:r>
          </w:p>
        </w:tc>
        <w:tc>
          <w:tcPr>
            <w:tcW w:w="993" w:type="dxa"/>
            <w:tcBorders>
              <w:top w:val="single" w:sz="8" w:space="0" w:color="auto"/>
              <w:left w:val="nil"/>
              <w:bottom w:val="single" w:sz="8" w:space="0" w:color="auto"/>
              <w:right w:val="single" w:sz="4" w:space="0" w:color="auto"/>
            </w:tcBorders>
            <w:noWrap/>
            <w:vAlign w:val="bottom"/>
            <w:hideMark/>
          </w:tcPr>
          <w:p w14:paraId="136AD27E" w14:textId="4272729F" w:rsidR="008C7D98" w:rsidRPr="00BF4EE3" w:rsidRDefault="008C7D98" w:rsidP="008C7D98">
            <w:pPr>
              <w:spacing w:line="240" w:lineRule="auto"/>
              <w:ind w:firstLine="0"/>
              <w:jc w:val="center"/>
              <w:rPr>
                <w:rFonts w:ascii="Arial Narrow" w:hAnsi="Arial Narrow"/>
                <w:b/>
                <w:bCs/>
                <w:sz w:val="20"/>
              </w:rPr>
            </w:pPr>
            <w:r>
              <w:rPr>
                <w:rFonts w:ascii="Arial Narrow" w:hAnsi="Arial Narrow"/>
                <w:sz w:val="20"/>
              </w:rPr>
              <w:t>1,0700</w:t>
            </w:r>
          </w:p>
        </w:tc>
        <w:tc>
          <w:tcPr>
            <w:tcW w:w="605" w:type="dxa"/>
            <w:tcBorders>
              <w:top w:val="single" w:sz="8" w:space="0" w:color="auto"/>
              <w:left w:val="nil"/>
              <w:bottom w:val="single" w:sz="8" w:space="0" w:color="auto"/>
              <w:right w:val="single" w:sz="4" w:space="0" w:color="auto"/>
            </w:tcBorders>
            <w:noWrap/>
            <w:vAlign w:val="bottom"/>
            <w:hideMark/>
          </w:tcPr>
          <w:p w14:paraId="0419EA58" w14:textId="77777777" w:rsidR="008C7D98" w:rsidRPr="00BF4EE3" w:rsidRDefault="008C7D98" w:rsidP="008C7D98">
            <w:pPr>
              <w:spacing w:line="240" w:lineRule="auto"/>
              <w:ind w:firstLine="0"/>
              <w:jc w:val="center"/>
              <w:rPr>
                <w:rFonts w:ascii="Arial Narrow" w:hAnsi="Arial Narrow"/>
                <w:b/>
                <w:bCs/>
                <w:sz w:val="20"/>
              </w:rPr>
            </w:pPr>
            <w:r w:rsidRPr="00BF4EE3">
              <w:rPr>
                <w:rFonts w:ascii="Arial Narrow" w:hAnsi="Arial Narrow"/>
                <w:b/>
                <w:bCs/>
                <w:sz w:val="20"/>
              </w:rPr>
              <w:t> </w:t>
            </w:r>
          </w:p>
        </w:tc>
        <w:tc>
          <w:tcPr>
            <w:tcW w:w="642" w:type="dxa"/>
            <w:tcBorders>
              <w:top w:val="single" w:sz="8" w:space="0" w:color="auto"/>
              <w:left w:val="nil"/>
              <w:bottom w:val="single" w:sz="8" w:space="0" w:color="auto"/>
              <w:right w:val="single" w:sz="4" w:space="0" w:color="auto"/>
            </w:tcBorders>
            <w:noWrap/>
            <w:vAlign w:val="bottom"/>
            <w:hideMark/>
          </w:tcPr>
          <w:p w14:paraId="713FD8C7" w14:textId="55136CF0" w:rsidR="008C7D98" w:rsidRPr="008C7D98" w:rsidRDefault="008C7D98" w:rsidP="008C7D98">
            <w:pPr>
              <w:spacing w:line="240" w:lineRule="auto"/>
              <w:ind w:firstLine="0"/>
              <w:jc w:val="center"/>
              <w:rPr>
                <w:rFonts w:ascii="Arial Narrow" w:hAnsi="Arial Narrow"/>
                <w:b/>
                <w:bCs/>
                <w:sz w:val="20"/>
              </w:rPr>
            </w:pPr>
            <w:r w:rsidRPr="008C7D98">
              <w:rPr>
                <w:rFonts w:ascii="Arial Narrow" w:hAnsi="Arial Narrow"/>
                <w:b/>
                <w:bCs/>
                <w:sz w:val="20"/>
              </w:rPr>
              <w:t>0,4900</w:t>
            </w:r>
          </w:p>
        </w:tc>
        <w:tc>
          <w:tcPr>
            <w:tcW w:w="642" w:type="dxa"/>
            <w:tcBorders>
              <w:top w:val="single" w:sz="8" w:space="0" w:color="auto"/>
              <w:left w:val="nil"/>
              <w:bottom w:val="single" w:sz="8" w:space="0" w:color="auto"/>
              <w:right w:val="single" w:sz="4" w:space="0" w:color="auto"/>
            </w:tcBorders>
            <w:noWrap/>
            <w:vAlign w:val="bottom"/>
            <w:hideMark/>
          </w:tcPr>
          <w:p w14:paraId="396C4DF1" w14:textId="74D0D46C" w:rsidR="008C7D98" w:rsidRPr="008C7D98" w:rsidRDefault="008C7D98" w:rsidP="008C7D98">
            <w:pPr>
              <w:spacing w:line="240" w:lineRule="auto"/>
              <w:ind w:firstLine="0"/>
              <w:jc w:val="center"/>
              <w:rPr>
                <w:rFonts w:ascii="Arial Narrow" w:hAnsi="Arial Narrow"/>
                <w:b/>
                <w:bCs/>
                <w:sz w:val="20"/>
              </w:rPr>
            </w:pPr>
            <w:r w:rsidRPr="008C7D98">
              <w:rPr>
                <w:rFonts w:ascii="Arial Narrow" w:hAnsi="Arial Narrow"/>
                <w:b/>
                <w:bCs/>
                <w:sz w:val="20"/>
              </w:rPr>
              <w:t>0,3000</w:t>
            </w:r>
          </w:p>
        </w:tc>
        <w:tc>
          <w:tcPr>
            <w:tcW w:w="642" w:type="dxa"/>
            <w:tcBorders>
              <w:top w:val="single" w:sz="8" w:space="0" w:color="auto"/>
              <w:left w:val="nil"/>
              <w:bottom w:val="single" w:sz="8" w:space="0" w:color="auto"/>
              <w:right w:val="single" w:sz="4" w:space="0" w:color="auto"/>
            </w:tcBorders>
            <w:noWrap/>
            <w:vAlign w:val="bottom"/>
            <w:hideMark/>
          </w:tcPr>
          <w:p w14:paraId="0AF6F5F0" w14:textId="5AB33B6E" w:rsidR="008C7D98" w:rsidRPr="008C7D98" w:rsidRDefault="008C7D98" w:rsidP="008C7D98">
            <w:pPr>
              <w:spacing w:line="240" w:lineRule="auto"/>
              <w:ind w:firstLine="0"/>
              <w:jc w:val="center"/>
              <w:rPr>
                <w:rFonts w:ascii="Arial Narrow" w:hAnsi="Arial Narrow"/>
                <w:b/>
                <w:bCs/>
                <w:sz w:val="20"/>
              </w:rPr>
            </w:pPr>
            <w:r w:rsidRPr="008C7D98">
              <w:rPr>
                <w:rFonts w:ascii="Arial Narrow" w:hAnsi="Arial Narrow"/>
                <w:b/>
                <w:bCs/>
                <w:sz w:val="20"/>
              </w:rPr>
              <w:t>0,2500</w:t>
            </w:r>
          </w:p>
        </w:tc>
        <w:tc>
          <w:tcPr>
            <w:tcW w:w="871" w:type="dxa"/>
            <w:tcBorders>
              <w:top w:val="single" w:sz="8" w:space="0" w:color="auto"/>
              <w:left w:val="nil"/>
              <w:bottom w:val="single" w:sz="8" w:space="0" w:color="auto"/>
              <w:right w:val="single" w:sz="4" w:space="0" w:color="auto"/>
            </w:tcBorders>
            <w:noWrap/>
            <w:vAlign w:val="bottom"/>
            <w:hideMark/>
          </w:tcPr>
          <w:p w14:paraId="3F45B46E" w14:textId="5F774A19" w:rsidR="008C7D98" w:rsidRPr="008C7D98" w:rsidRDefault="008C7D98" w:rsidP="008C7D98">
            <w:pPr>
              <w:spacing w:line="240" w:lineRule="auto"/>
              <w:ind w:firstLine="0"/>
              <w:jc w:val="center"/>
              <w:rPr>
                <w:rFonts w:ascii="Arial Narrow" w:hAnsi="Arial Narrow"/>
                <w:b/>
                <w:bCs/>
                <w:sz w:val="20"/>
              </w:rPr>
            </w:pPr>
            <w:r w:rsidRPr="008C7D98">
              <w:rPr>
                <w:rFonts w:ascii="Arial Narrow" w:hAnsi="Arial Narrow"/>
                <w:b/>
                <w:bCs/>
                <w:sz w:val="20"/>
              </w:rPr>
              <w:t>0,0140</w:t>
            </w:r>
          </w:p>
        </w:tc>
        <w:tc>
          <w:tcPr>
            <w:tcW w:w="642" w:type="dxa"/>
            <w:tcBorders>
              <w:top w:val="single" w:sz="8" w:space="0" w:color="auto"/>
              <w:left w:val="nil"/>
              <w:bottom w:val="single" w:sz="8" w:space="0" w:color="auto"/>
              <w:right w:val="single" w:sz="4" w:space="0" w:color="auto"/>
            </w:tcBorders>
            <w:noWrap/>
            <w:vAlign w:val="bottom"/>
            <w:hideMark/>
          </w:tcPr>
          <w:p w14:paraId="7027BB4C" w14:textId="2503CB09" w:rsidR="008C7D98" w:rsidRPr="008C7D98" w:rsidRDefault="008C7D98" w:rsidP="008C7D98">
            <w:pPr>
              <w:spacing w:line="240" w:lineRule="auto"/>
              <w:ind w:firstLine="0"/>
              <w:jc w:val="center"/>
              <w:rPr>
                <w:rFonts w:ascii="Arial Narrow" w:hAnsi="Arial Narrow"/>
                <w:b/>
                <w:bCs/>
                <w:sz w:val="20"/>
              </w:rPr>
            </w:pPr>
            <w:r w:rsidRPr="008C7D98">
              <w:rPr>
                <w:rFonts w:ascii="Arial Narrow" w:hAnsi="Arial Narrow"/>
                <w:b/>
                <w:bCs/>
                <w:sz w:val="20"/>
              </w:rPr>
              <w:t>0,0160</w:t>
            </w:r>
          </w:p>
        </w:tc>
      </w:tr>
    </w:tbl>
    <w:p w14:paraId="21A59C46" w14:textId="77777777" w:rsidR="006C09CE" w:rsidRDefault="006C09CE" w:rsidP="00D74E97">
      <w:pPr>
        <w:spacing w:line="276" w:lineRule="auto"/>
        <w:ind w:firstLine="0"/>
        <w:rPr>
          <w:rFonts w:ascii="Verdana" w:hAnsi="Verdana"/>
          <w:sz w:val="18"/>
          <w:szCs w:val="18"/>
        </w:rPr>
      </w:pPr>
    </w:p>
    <w:p w14:paraId="23359837" w14:textId="77777777" w:rsidR="008C7D98" w:rsidRPr="0073208B" w:rsidRDefault="008C7D98" w:rsidP="008C7D98">
      <w:pPr>
        <w:spacing w:line="276" w:lineRule="auto"/>
        <w:ind w:firstLine="0"/>
        <w:jc w:val="both"/>
        <w:rPr>
          <w:rFonts w:ascii="Verdana" w:hAnsi="Verdana"/>
          <w:sz w:val="18"/>
          <w:szCs w:val="18"/>
        </w:rPr>
      </w:pPr>
      <w:r>
        <w:rPr>
          <w:rFonts w:ascii="Verdana" w:hAnsi="Verdana"/>
          <w:color w:val="000000"/>
          <w:sz w:val="18"/>
          <w:szCs w:val="18"/>
          <w:lang w:eastAsia="ar-SA"/>
        </w:rPr>
        <w:t xml:space="preserve">dla działek </w:t>
      </w:r>
      <w:r>
        <w:rPr>
          <w:rFonts w:ascii="Verdana" w:hAnsi="Verdana"/>
          <w:sz w:val="18"/>
          <w:szCs w:val="18"/>
        </w:rPr>
        <w:t xml:space="preserve">Wydział Ksiąg Wieczystych Sądu Rejonowego w Myszkowie </w:t>
      </w:r>
      <w:r>
        <w:rPr>
          <w:rFonts w:ascii="Verdana" w:hAnsi="Verdana"/>
          <w:color w:val="000000"/>
          <w:sz w:val="18"/>
          <w:szCs w:val="18"/>
          <w:lang w:eastAsia="ar-SA"/>
        </w:rPr>
        <w:t xml:space="preserve">prowadzi księgę wieczystą o numerze CZ1M/00093747/8. </w:t>
      </w:r>
      <w:r>
        <w:rPr>
          <w:rFonts w:ascii="Verdana" w:hAnsi="Verdana"/>
          <w:sz w:val="18"/>
          <w:szCs w:val="18"/>
        </w:rPr>
        <w:t>Informacja o obciążeniach i zobowiązaniach: brak.</w:t>
      </w:r>
    </w:p>
    <w:p w14:paraId="2FAED26E" w14:textId="77777777" w:rsidR="008C7D98" w:rsidRDefault="008C7D98" w:rsidP="008C7D98">
      <w:pPr>
        <w:jc w:val="both"/>
        <w:rPr>
          <w:rFonts w:ascii="Verdana" w:hAnsi="Verdana"/>
          <w:color w:val="FF0000"/>
          <w:sz w:val="18"/>
          <w:szCs w:val="18"/>
        </w:rPr>
      </w:pPr>
    </w:p>
    <w:p w14:paraId="60CB98E8" w14:textId="77777777" w:rsidR="008C7D98" w:rsidRPr="00E661C8" w:rsidRDefault="008C7D98" w:rsidP="008C7D98">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1,0700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14:paraId="7DB5D90A" w14:textId="77777777" w:rsidR="008C7D98" w:rsidRDefault="008C7D98" w:rsidP="008C7D98">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 xml:space="preserve">grunty </w:t>
      </w:r>
      <w:proofErr w:type="gramStart"/>
      <w:r>
        <w:rPr>
          <w:rFonts w:ascii="Verdana" w:hAnsi="Verdana"/>
          <w:sz w:val="18"/>
          <w:szCs w:val="18"/>
        </w:rPr>
        <w:t xml:space="preserve">orne:   </w:t>
      </w:r>
      <w:proofErr w:type="gramEnd"/>
      <w:r>
        <w:rPr>
          <w:rFonts w:ascii="Verdana" w:hAnsi="Verdana"/>
          <w:sz w:val="18"/>
          <w:szCs w:val="18"/>
        </w:rPr>
        <w:t xml:space="preserve">             1,0400 ha,</w:t>
      </w:r>
    </w:p>
    <w:p w14:paraId="44544FE4" w14:textId="77777777" w:rsidR="008C7D98" w:rsidRDefault="008C7D98" w:rsidP="008C7D98">
      <w:pPr>
        <w:ind w:firstLine="0"/>
        <w:jc w:val="both"/>
        <w:rPr>
          <w:rFonts w:ascii="Verdana" w:hAnsi="Verdana"/>
          <w:sz w:val="18"/>
          <w:szCs w:val="18"/>
        </w:rPr>
      </w:pPr>
      <w:r>
        <w:rPr>
          <w:rFonts w:ascii="Verdana" w:hAnsi="Verdana"/>
          <w:sz w:val="18"/>
          <w:szCs w:val="18"/>
        </w:rPr>
        <w:t xml:space="preserve">- grunty pod </w:t>
      </w:r>
      <w:proofErr w:type="gramStart"/>
      <w:r>
        <w:rPr>
          <w:rFonts w:ascii="Verdana" w:hAnsi="Verdana"/>
          <w:sz w:val="18"/>
          <w:szCs w:val="18"/>
        </w:rPr>
        <w:t xml:space="preserve">rowami:   </w:t>
      </w:r>
      <w:proofErr w:type="gramEnd"/>
      <w:r>
        <w:rPr>
          <w:rFonts w:ascii="Verdana" w:hAnsi="Verdana"/>
          <w:sz w:val="18"/>
          <w:szCs w:val="18"/>
        </w:rPr>
        <w:t xml:space="preserve">   0,0300 ha </w:t>
      </w:r>
    </w:p>
    <w:p w14:paraId="7189B006" w14:textId="77777777" w:rsidR="008C7D98" w:rsidRDefault="008C7D98" w:rsidP="008C7D98">
      <w:pPr>
        <w:jc w:val="both"/>
        <w:rPr>
          <w:rFonts w:ascii="Verdana" w:hAnsi="Verdana"/>
          <w:sz w:val="18"/>
          <w:szCs w:val="18"/>
        </w:rPr>
      </w:pPr>
    </w:p>
    <w:p w14:paraId="4A32B9FC" w14:textId="2B22D25A" w:rsidR="008C7D98" w:rsidRPr="008C7D98" w:rsidRDefault="008C7D98" w:rsidP="008C7D98">
      <w:pPr>
        <w:pStyle w:val="Akapitzlist"/>
        <w:numPr>
          <w:ilvl w:val="0"/>
          <w:numId w:val="33"/>
        </w:numPr>
        <w:spacing w:line="240" w:lineRule="auto"/>
        <w:jc w:val="both"/>
        <w:rPr>
          <w:rFonts w:ascii="Verdana" w:hAnsi="Verdana"/>
          <w:sz w:val="18"/>
          <w:szCs w:val="18"/>
        </w:rPr>
      </w:pPr>
      <w:r w:rsidRPr="008C7D98">
        <w:rPr>
          <w:rFonts w:ascii="Verdana" w:hAnsi="Verdana"/>
          <w:sz w:val="18"/>
          <w:szCs w:val="18"/>
        </w:rPr>
        <w:t xml:space="preserve">Inne ważne informacje o nieruchomości: w granicach działki w jej zachodniej części występuje rów melioracyjny oznaczony symbolem R-D10. Ponadto na terenie zgodnie z Mapą Podziału Hydrograficznego Polski występują wody o nieokreślonym charakterze, które zostały oznaczone jako rzeki niewyróżnione. </w:t>
      </w:r>
    </w:p>
    <w:p w14:paraId="1715D04A" w14:textId="77777777" w:rsidR="008C7D98" w:rsidRPr="00B1761D" w:rsidRDefault="008C7D98" w:rsidP="008C7D98">
      <w:pPr>
        <w:ind w:left="284"/>
        <w:jc w:val="both"/>
        <w:rPr>
          <w:rFonts w:ascii="Verdana" w:hAnsi="Verdana"/>
          <w:sz w:val="18"/>
          <w:szCs w:val="18"/>
        </w:rPr>
      </w:pPr>
    </w:p>
    <w:p w14:paraId="3AE47542" w14:textId="5FBCF1B4" w:rsidR="008C7D98" w:rsidRDefault="008C7D98" w:rsidP="008C7D98">
      <w:pPr>
        <w:spacing w:after="60"/>
        <w:ind w:firstLine="0"/>
        <w:jc w:val="both"/>
        <w:rPr>
          <w:rFonts w:ascii="Verdana" w:hAnsi="Verdana"/>
          <w:sz w:val="18"/>
          <w:szCs w:val="18"/>
        </w:rPr>
      </w:pPr>
      <w:r>
        <w:rPr>
          <w:rFonts w:ascii="Verdana" w:hAnsi="Verdana"/>
          <w:sz w:val="18"/>
          <w:szCs w:val="18"/>
        </w:rPr>
        <w:t xml:space="preserve">Działka znajduje się na terenie nieobjętym obowiązującym miejscowym planem zagospodarowania przestrzennego. Zgodnie ze studium uwarunkowań i kierunków zagospodarowania przestrzennego miasta i gminy Koniecpol działka położona jest na obszarze rolniczej przestrzeni produkcyjnej wyłączone z zabudowy, gleby IIIa-IIIb klasy bonitacyjnej gruntów rolnych, kompleksy rolnicze o najwyższej wartości, gleby organiczne, zdrenowane.  </w:t>
      </w:r>
    </w:p>
    <w:p w14:paraId="7A0BBE20" w14:textId="77777777" w:rsidR="006C09CE" w:rsidRDefault="006C09CE" w:rsidP="00D74E97">
      <w:pPr>
        <w:spacing w:line="276" w:lineRule="auto"/>
        <w:ind w:firstLine="0"/>
        <w:rPr>
          <w:rFonts w:ascii="Verdana" w:hAnsi="Verdana"/>
          <w:sz w:val="18"/>
          <w:szCs w:val="18"/>
        </w:rPr>
      </w:pPr>
    </w:p>
    <w:p w14:paraId="676B20B7" w14:textId="0EC65A1A"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8C7D98">
        <w:rPr>
          <w:rFonts w:ascii="Verdana" w:hAnsi="Verdana"/>
          <w:b/>
          <w:sz w:val="18"/>
          <w:szCs w:val="18"/>
        </w:rPr>
        <w:t>4,6</w:t>
      </w:r>
      <w:r w:rsidRPr="00984F1B">
        <w:rPr>
          <w:rFonts w:ascii="Verdana" w:hAnsi="Verdana"/>
          <w:b/>
          <w:sz w:val="18"/>
          <w:szCs w:val="18"/>
        </w:rPr>
        <w:t xml:space="preserve"> dt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215875BC" w14:textId="77777777"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54D04">
        <w:rPr>
          <w:rFonts w:ascii="Verdana" w:hAnsi="Verdana"/>
          <w:b/>
          <w:sz w:val="18"/>
          <w:szCs w:val="18"/>
        </w:rPr>
        <w:t>1 0</w:t>
      </w:r>
      <w:r w:rsidR="0080667B">
        <w:rPr>
          <w:rFonts w:ascii="Verdana" w:hAnsi="Verdana"/>
          <w:b/>
          <w:sz w:val="18"/>
          <w:szCs w:val="18"/>
        </w:rPr>
        <w:t>00</w:t>
      </w:r>
      <w:r w:rsidRPr="00E8366C">
        <w:rPr>
          <w:rFonts w:ascii="Verdana" w:hAnsi="Verdana"/>
          <w:b/>
          <w:sz w:val="18"/>
          <w:szCs w:val="18"/>
        </w:rPr>
        <w:t>,00 zł</w:t>
      </w:r>
    </w:p>
    <w:p w14:paraId="59A96185" w14:textId="46481063"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w:t>
      </w:r>
      <w:r w:rsidR="008C7D98">
        <w:rPr>
          <w:rFonts w:ascii="Verdana" w:hAnsi="Verdana"/>
          <w:b/>
          <w:spacing w:val="-3"/>
          <w:sz w:val="18"/>
          <w:szCs w:val="18"/>
          <w:u w:val="single"/>
        </w:rPr>
        <w:t>2028</w:t>
      </w:r>
      <w:r w:rsidRPr="00984F1B">
        <w:rPr>
          <w:rFonts w:ascii="Verdana" w:hAnsi="Verdana"/>
          <w:b/>
          <w:spacing w:val="-3"/>
          <w:sz w:val="18"/>
          <w:szCs w:val="18"/>
          <w:u w:val="single"/>
        </w:rPr>
        <w:t xml:space="preserve"> roku </w:t>
      </w:r>
    </w:p>
    <w:p w14:paraId="520F1C4F" w14:textId="77777777" w:rsidR="00C67D70" w:rsidRPr="004A0686" w:rsidRDefault="00C67D70"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69ABDD20" w14:textId="6C369E41"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4FBA16C4" w14:textId="77777777" w:rsidR="00BF4EE3" w:rsidRDefault="00BF4EE3" w:rsidP="00F705E6">
      <w:pPr>
        <w:autoSpaceDE w:val="0"/>
        <w:autoSpaceDN w:val="0"/>
        <w:adjustRightInd w:val="0"/>
        <w:ind w:firstLine="0"/>
        <w:jc w:val="both"/>
        <w:rPr>
          <w:rFonts w:ascii="Verdana" w:hAnsi="Verdana" w:cs="FuturaMdPL-Regular"/>
          <w:b/>
          <w:color w:val="000000"/>
          <w:sz w:val="18"/>
          <w:szCs w:val="18"/>
          <w:u w:val="single"/>
        </w:rPr>
      </w:pPr>
    </w:p>
    <w:p w14:paraId="4DAEAAED" w14:textId="50906D33"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6FEB7461"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6C09CE">
        <w:rPr>
          <w:rFonts w:ascii="Verdana" w:hAnsi="Verdana"/>
          <w:b/>
          <w:sz w:val="20"/>
          <w:lang w:eastAsia="ar-SA"/>
        </w:rPr>
        <w:t>02.02.2026</w:t>
      </w:r>
      <w:r>
        <w:rPr>
          <w:rFonts w:ascii="Verdana" w:hAnsi="Verdana"/>
          <w:b/>
          <w:sz w:val="20"/>
          <w:lang w:eastAsia="ar-SA"/>
        </w:rPr>
        <w:t xml:space="preserve"> r. o godz. </w:t>
      </w:r>
      <w:r w:rsidR="008C7D98">
        <w:rPr>
          <w:rFonts w:ascii="Verdana" w:hAnsi="Verdana"/>
          <w:b/>
          <w:sz w:val="20"/>
          <w:lang w:eastAsia="ar-SA"/>
        </w:rPr>
        <w:t>11:00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 xml:space="preserve">Wymóg 5 letniego osobistego prowadzenia gospodarstwa, określonego w przepisach UKUR nie dotyczy </w:t>
      </w:r>
      <w:proofErr w:type="gramStart"/>
      <w:r w:rsidR="0073707A">
        <w:rPr>
          <w:rFonts w:ascii="Verdana" w:hAnsi="Verdana"/>
          <w:spacing w:val="-3"/>
          <w:sz w:val="18"/>
          <w:szCs w:val="18"/>
        </w:rPr>
        <w:t>osób</w:t>
      </w:r>
      <w:proofErr w:type="gramEnd"/>
      <w:r w:rsidR="0073707A">
        <w:rPr>
          <w:rFonts w:ascii="Verdana" w:hAnsi="Verdana"/>
          <w:spacing w:val="-3"/>
          <w:sz w:val="18"/>
          <w:szCs w:val="18"/>
        </w:rPr>
        <w:t xml:space="preserve">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w:t>
      </w:r>
      <w:proofErr w:type="gramStart"/>
      <w:r>
        <w:rPr>
          <w:rFonts w:ascii="Verdana" w:hAnsi="Verdana"/>
          <w:spacing w:val="-3"/>
          <w:sz w:val="18"/>
          <w:szCs w:val="18"/>
        </w:rPr>
        <w:t>( nie</w:t>
      </w:r>
      <w:proofErr w:type="gramEnd"/>
      <w:r>
        <w:rPr>
          <w:rFonts w:ascii="Verdana" w:hAnsi="Verdana"/>
          <w:spacing w:val="-3"/>
          <w:sz w:val="18"/>
          <w:szCs w:val="18"/>
        </w:rPr>
        <w:t xml:space="preserv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w:t>
      </w:r>
      <w:proofErr w:type="gramStart"/>
      <w:r w:rsidR="00F641EB">
        <w:rPr>
          <w:rFonts w:ascii="Verdana" w:hAnsi="Verdana" w:cs="FuturaMdPL-Regular"/>
          <w:sz w:val="18"/>
          <w:szCs w:val="18"/>
        </w:rPr>
        <w:t>1997r.</w:t>
      </w:r>
      <w:proofErr w:type="gramEnd"/>
      <w:r w:rsidR="00F641EB">
        <w:rPr>
          <w:rFonts w:ascii="Verdana" w:hAnsi="Verdana" w:cs="FuturaMdPL-Regular"/>
          <w:sz w:val="18"/>
          <w:szCs w:val="18"/>
        </w:rPr>
        <w:t xml:space="preserve">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w:t>
      </w:r>
      <w:proofErr w:type="gramStart"/>
      <w:r w:rsidR="00955879">
        <w:rPr>
          <w:rFonts w:ascii="Verdana" w:hAnsi="Verdana" w:cs="FuturaMdPL-Regular"/>
          <w:sz w:val="18"/>
          <w:szCs w:val="18"/>
        </w:rPr>
        <w:t>( dotyczy</w:t>
      </w:r>
      <w:proofErr w:type="gramEnd"/>
      <w:r w:rsidR="00955879">
        <w:rPr>
          <w:rFonts w:ascii="Verdana" w:hAnsi="Verdana" w:cs="FuturaMdPL-Regular"/>
          <w:sz w:val="18"/>
          <w:szCs w:val="18"/>
        </w:rPr>
        <w:t xml:space="preserve"> </w:t>
      </w:r>
      <w:proofErr w:type="gramStart"/>
      <w:r w:rsidR="00955879">
        <w:rPr>
          <w:rFonts w:ascii="Verdana" w:hAnsi="Verdana" w:cs="FuturaMdPL-Regular"/>
          <w:sz w:val="18"/>
          <w:szCs w:val="18"/>
        </w:rPr>
        <w:t>osób</w:t>
      </w:r>
      <w:proofErr w:type="gramEnd"/>
      <w:r w:rsidR="00955879">
        <w:rPr>
          <w:rFonts w:ascii="Verdana" w:hAnsi="Verdana" w:cs="FuturaMdPL-Regular"/>
          <w:sz w:val="18"/>
          <w:szCs w:val="18"/>
        </w:rPr>
        <w:t xml:space="preserve"> które po dniu 29.04.</w:t>
      </w:r>
      <w:proofErr w:type="gramStart"/>
      <w:r w:rsidR="00955879">
        <w:rPr>
          <w:rFonts w:ascii="Verdana" w:hAnsi="Verdana" w:cs="FuturaMdPL-Regular"/>
          <w:sz w:val="18"/>
          <w:szCs w:val="18"/>
        </w:rPr>
        <w:t>2016r.</w:t>
      </w:r>
      <w:proofErr w:type="gramEnd"/>
      <w:r w:rsidR="00955879">
        <w:rPr>
          <w:rFonts w:ascii="Verdana" w:hAnsi="Verdana" w:cs="FuturaMdPL-Regular"/>
          <w:sz w:val="18"/>
          <w:szCs w:val="18"/>
        </w:rPr>
        <w:t xml:space="preserve">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76239276"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6C09CE">
        <w:rPr>
          <w:rFonts w:ascii="Verdana" w:hAnsi="Verdana"/>
          <w:b/>
          <w:spacing w:val="-3"/>
          <w:sz w:val="18"/>
          <w:szCs w:val="18"/>
        </w:rPr>
        <w:t>16.01.2026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 xml:space="preserve">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w:t>
      </w:r>
      <w:proofErr w:type="gramStart"/>
      <w:r w:rsidRPr="00DC35F2">
        <w:rPr>
          <w:rFonts w:ascii="Verdana" w:hAnsi="Verdana"/>
          <w:spacing w:val="-3"/>
          <w:sz w:val="18"/>
          <w:szCs w:val="18"/>
        </w:rPr>
        <w:t>osoba</w:t>
      </w:r>
      <w:proofErr w:type="gramEnd"/>
      <w:r w:rsidRPr="00DC35F2">
        <w:rPr>
          <w:rFonts w:ascii="Verdana" w:hAnsi="Verdana"/>
          <w:spacing w:val="-3"/>
          <w:sz w:val="18"/>
          <w:szCs w:val="18"/>
        </w:rPr>
        <w:t xml:space="preserve">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w:t>
      </w:r>
      <w:proofErr w:type="gramStart"/>
      <w:r w:rsidRPr="00AA1FD1">
        <w:rPr>
          <w:rFonts w:ascii="Verdana" w:hAnsi="Verdana"/>
          <w:spacing w:val="-3"/>
          <w:sz w:val="18"/>
          <w:szCs w:val="18"/>
        </w:rPr>
        <w:t>przypadku</w:t>
      </w:r>
      <w:proofErr w:type="gramEnd"/>
      <w:r w:rsidRPr="00AA1FD1">
        <w:rPr>
          <w:rFonts w:ascii="Verdana" w:hAnsi="Verdana"/>
          <w:spacing w:val="-3"/>
          <w:sz w:val="18"/>
          <w:szCs w:val="18"/>
        </w:rPr>
        <w:t xml:space="preserve">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0BB2C748"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do dnia 20.01.2026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63285D5A"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6C09CE">
        <w:rPr>
          <w:rFonts w:ascii="Verdana" w:hAnsi="Verdana"/>
          <w:b/>
          <w:sz w:val="18"/>
          <w:szCs w:val="18"/>
        </w:rPr>
        <w:t>23.01.2026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39BB04A0"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proofErr w:type="gramStart"/>
      <w:r w:rsidR="0098300D">
        <w:rPr>
          <w:rFonts w:ascii="Verdana" w:hAnsi="Verdana"/>
          <w:bCs/>
          <w:spacing w:val="1"/>
          <w:sz w:val="18"/>
          <w:szCs w:val="18"/>
        </w:rPr>
        <w:t>OT  KOWR</w:t>
      </w:r>
      <w:proofErr w:type="gramEnd"/>
      <w:r w:rsidR="0098300D">
        <w:rPr>
          <w:rFonts w:ascii="Verdana" w:hAnsi="Verdana"/>
          <w:bCs/>
          <w:spacing w:val="1"/>
          <w:sz w:val="18"/>
          <w:szCs w:val="18"/>
        </w:rPr>
        <w:t xml:space="preserve"> w Częstochowie</w:t>
      </w:r>
      <w:r w:rsidR="0098300D" w:rsidRPr="00532259">
        <w:rPr>
          <w:rFonts w:ascii="Verdana" w:hAnsi="Verdana"/>
          <w:spacing w:val="-3"/>
          <w:sz w:val="18"/>
          <w:szCs w:val="18"/>
        </w:rPr>
        <w:t xml:space="preserve"> </w:t>
      </w:r>
      <w:r w:rsidR="006C09CE">
        <w:rPr>
          <w:rFonts w:ascii="Verdana" w:hAnsi="Verdana" w:cs="Verdana"/>
          <w:b/>
          <w:sz w:val="18"/>
          <w:szCs w:val="18"/>
        </w:rPr>
        <w:t>do dnia 27.01.2026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46504724"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BB3835">
        <w:rPr>
          <w:rFonts w:ascii="Verdana" w:hAnsi="Verdana"/>
          <w:b/>
          <w:bCs/>
          <w:sz w:val="18"/>
          <w:szCs w:val="18"/>
        </w:rPr>
        <w:t>28.01.202</w:t>
      </w:r>
      <w:r w:rsidR="001A526E">
        <w:rPr>
          <w:rFonts w:ascii="Verdana" w:hAnsi="Verdana"/>
          <w:b/>
          <w:bCs/>
          <w:sz w:val="18"/>
          <w:szCs w:val="18"/>
        </w:rPr>
        <w:t>6</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 xml:space="preserve">Bank BGK nie obsługuje szybkich przelewów </w:t>
      </w:r>
      <w:proofErr w:type="gramStart"/>
      <w:r w:rsidRPr="007E79C7">
        <w:rPr>
          <w:rFonts w:ascii="Verdana" w:hAnsi="Verdana"/>
          <w:sz w:val="18"/>
          <w:szCs w:val="18"/>
          <w:u w:val="single"/>
        </w:rPr>
        <w:t>online  natychmiastowych</w:t>
      </w:r>
      <w:proofErr w:type="gramEnd"/>
      <w:r w:rsidRPr="007E79C7">
        <w:rPr>
          <w:rFonts w:ascii="Verdana" w:hAnsi="Verdana"/>
          <w:sz w:val="18"/>
          <w:szCs w:val="18"/>
          <w:u w:val="single"/>
        </w:rPr>
        <w:t>/błyskawicznych/ekspresowych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r w:rsidRPr="00BB3835">
        <w:rPr>
          <w:rFonts w:ascii="Verdana" w:hAnsi="Verdana" w:cs="FuturaMdPL-Regular"/>
          <w:i/>
          <w:color w:val="000000"/>
          <w:sz w:val="18"/>
          <w:szCs w:val="18"/>
        </w:rPr>
        <w:t xml:space="preserve">gnrSP. W przypadku wniesienia </w:t>
      </w:r>
      <w:r w:rsidRPr="00BB3835">
        <w:rPr>
          <w:rFonts w:ascii="Verdana" w:hAnsi="Verdana" w:cs="FuturaMdPL-Regular"/>
          <w:i/>
          <w:color w:val="000000"/>
          <w:sz w:val="18"/>
          <w:szCs w:val="18"/>
        </w:rPr>
        <w:lastRenderedPageBreak/>
        <w:t xml:space="preserve">zastrzeżeń, o których mowa w art. 29 ust. 6,7 i 11 </w:t>
      </w:r>
      <w:r w:rsidRPr="00BB3835">
        <w:rPr>
          <w:rFonts w:ascii="Verdana" w:hAnsi="Verdana"/>
          <w:i/>
          <w:sz w:val="18"/>
          <w:szCs w:val="18"/>
        </w:rPr>
        <w:t xml:space="preserve">ustawy </w:t>
      </w:r>
      <w:r w:rsidRPr="00BB3835">
        <w:rPr>
          <w:rFonts w:ascii="Verdana" w:hAnsi="Verdana" w:cs="FuturaMdPL-Regular"/>
          <w:i/>
          <w:color w:val="000000"/>
          <w:sz w:val="18"/>
          <w:szCs w:val="18"/>
        </w:rPr>
        <w:t xml:space="preserve">gnrSP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w:t>
      </w:r>
      <w:proofErr w:type="gramStart"/>
      <w:r w:rsidRPr="00934192">
        <w:rPr>
          <w:rFonts w:ascii="Verdana" w:hAnsi="Verdana"/>
          <w:sz w:val="18"/>
          <w:szCs w:val="18"/>
        </w:rPr>
        <w:t>oraz,</w:t>
      </w:r>
      <w:proofErr w:type="gramEnd"/>
      <w:r w:rsidRPr="00934192">
        <w:rPr>
          <w:rFonts w:ascii="Verdana" w:hAnsi="Verdana"/>
          <w:sz w:val="18"/>
          <w:szCs w:val="18"/>
        </w:rPr>
        <w:t xml:space="preserve">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w:t>
      </w:r>
      <w:proofErr w:type="gramStart"/>
      <w:r w:rsidRPr="00934192">
        <w:rPr>
          <w:rFonts w:ascii="Verdana" w:hAnsi="Verdana"/>
          <w:sz w:val="18"/>
          <w:szCs w:val="18"/>
        </w:rPr>
        <w:t>1997r.</w:t>
      </w:r>
      <w:proofErr w:type="gramEnd"/>
      <w:r w:rsidRPr="00934192">
        <w:rPr>
          <w:rFonts w:ascii="Verdana" w:hAnsi="Verdana"/>
          <w:sz w:val="18"/>
          <w:szCs w:val="18"/>
        </w:rPr>
        <w:t xml:space="preserve">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w:t>
      </w:r>
      <w:proofErr w:type="gramStart"/>
      <w:r w:rsidRPr="00F00E2D">
        <w:rPr>
          <w:rFonts w:ascii="Verdana" w:hAnsi="Verdana"/>
          <w:sz w:val="18"/>
          <w:szCs w:val="18"/>
        </w:rPr>
        <w:t>1997r.</w:t>
      </w:r>
      <w:proofErr w:type="gramEnd"/>
      <w:r w:rsidRPr="00F00E2D">
        <w:rPr>
          <w:rFonts w:ascii="Verdana" w:hAnsi="Verdana"/>
          <w:sz w:val="18"/>
          <w:szCs w:val="18"/>
        </w:rPr>
        <w:t xml:space="preserve"> o ochronie danych osobowych (Dz. U z </w:t>
      </w:r>
      <w:proofErr w:type="gramStart"/>
      <w:r w:rsidRPr="00F00E2D">
        <w:rPr>
          <w:rFonts w:ascii="Verdana" w:hAnsi="Verdana"/>
          <w:sz w:val="18"/>
          <w:szCs w:val="18"/>
        </w:rPr>
        <w:t>2002r.</w:t>
      </w:r>
      <w:proofErr w:type="gramEnd"/>
      <w:r w:rsidRPr="00F00E2D">
        <w:rPr>
          <w:rFonts w:ascii="Verdana" w:hAnsi="Verdana"/>
          <w:sz w:val="18"/>
          <w:szCs w:val="18"/>
        </w:rPr>
        <w:t xml:space="preserve">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 xml:space="preserve">VII. Wadium nie podlega zwrotowi w </w:t>
      </w:r>
      <w:proofErr w:type="gramStart"/>
      <w:r w:rsidRPr="00532259">
        <w:rPr>
          <w:rFonts w:ascii="Verdana" w:hAnsi="Verdana"/>
          <w:b/>
          <w:color w:val="000000"/>
          <w:sz w:val="18"/>
          <w:szCs w:val="18"/>
          <w:u w:val="single"/>
        </w:rPr>
        <w:t>przypadku</w:t>
      </w:r>
      <w:proofErr w:type="gramEnd"/>
      <w:r w:rsidRPr="00532259">
        <w:rPr>
          <w:rFonts w:ascii="Verdana" w:hAnsi="Verdana"/>
          <w:b/>
          <w:color w:val="000000"/>
          <w:sz w:val="18"/>
          <w:szCs w:val="18"/>
          <w:u w:val="single"/>
        </w:rPr>
        <w:t xml:space="preserve">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 xml:space="preserve">Za datę doręczenia rozstrzygnięcia uważa się dzień jego zamieszczenia na stronie podmiotowej Biuletynu Informacji Publicznej Kranowego Ośrodka. Do obliczania </w:t>
      </w:r>
      <w:proofErr w:type="gramStart"/>
      <w:r w:rsidR="00867112" w:rsidRPr="00867112">
        <w:rPr>
          <w:rFonts w:ascii="Verdana" w:hAnsi="Verdana"/>
          <w:spacing w:val="-3"/>
          <w:sz w:val="18"/>
          <w:szCs w:val="18"/>
        </w:rPr>
        <w:t>terminów</w:t>
      </w:r>
      <w:proofErr w:type="gramEnd"/>
      <w:r w:rsidR="00867112" w:rsidRPr="00867112">
        <w:rPr>
          <w:rFonts w:ascii="Verdana" w:hAnsi="Verdana"/>
          <w:spacing w:val="-3"/>
          <w:sz w:val="18"/>
          <w:szCs w:val="18"/>
        </w:rPr>
        <w:t xml:space="preserve">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lastRenderedPageBreak/>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w:t>
      </w:r>
      <w:proofErr w:type="gramStart"/>
      <w:r w:rsidRPr="00532259">
        <w:rPr>
          <w:rFonts w:ascii="Verdana" w:hAnsi="Verdana"/>
          <w:sz w:val="18"/>
          <w:szCs w:val="18"/>
        </w:rPr>
        <w:t>dniu</w:t>
      </w:r>
      <w:proofErr w:type="gramEnd"/>
      <w:r w:rsidRPr="00532259">
        <w:rPr>
          <w:rFonts w:ascii="Verdana" w:hAnsi="Verdana"/>
          <w:sz w:val="18"/>
          <w:szCs w:val="18"/>
        </w:rPr>
        <w:t xml:space="preserve">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w:t>
      </w:r>
      <w:proofErr w:type="gramStart"/>
      <w:r w:rsidRPr="00532259">
        <w:rPr>
          <w:rFonts w:ascii="Verdana" w:hAnsi="Verdana"/>
          <w:sz w:val="18"/>
          <w:szCs w:val="18"/>
        </w:rPr>
        <w:t>nie zaleganiu</w:t>
      </w:r>
      <w:proofErr w:type="gramEnd"/>
      <w:r w:rsidRPr="00532259">
        <w:rPr>
          <w:rFonts w:ascii="Verdana" w:hAnsi="Verdana"/>
          <w:sz w:val="18"/>
          <w:szCs w:val="18"/>
        </w:rPr>
        <w:t xml:space="preserve">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proofErr w:type="gramStart"/>
      <w:r w:rsidRPr="00532259">
        <w:rPr>
          <w:rFonts w:ascii="Verdana" w:hAnsi="Verdana"/>
          <w:sz w:val="18"/>
          <w:szCs w:val="18"/>
        </w:rPr>
        <w:t>trzecich,</w:t>
      </w:r>
      <w:proofErr w:type="gramEnd"/>
      <w:r w:rsidRPr="00532259">
        <w:rPr>
          <w:rFonts w:ascii="Verdana" w:hAnsi="Verdana"/>
          <w:sz w:val="18"/>
          <w:szCs w:val="18"/>
        </w:rPr>
        <w:t xml:space="preserve"> bądź ich braku, oświadczenie o </w:t>
      </w:r>
      <w:proofErr w:type="gramStart"/>
      <w:r w:rsidRPr="00532259">
        <w:rPr>
          <w:rFonts w:ascii="Verdana" w:hAnsi="Verdana"/>
          <w:sz w:val="18"/>
          <w:szCs w:val="18"/>
        </w:rPr>
        <w:t>nie zaleganiu</w:t>
      </w:r>
      <w:proofErr w:type="gramEnd"/>
      <w:r w:rsidRPr="00532259">
        <w:rPr>
          <w:rFonts w:ascii="Verdana" w:hAnsi="Verdana"/>
          <w:sz w:val="18"/>
          <w:szCs w:val="18"/>
        </w:rPr>
        <w:t xml:space="preserve">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proofErr w:type="gramStart"/>
      <w:r w:rsidRPr="00532259">
        <w:rPr>
          <w:rFonts w:ascii="Verdana" w:hAnsi="Verdana"/>
          <w:sz w:val="18"/>
          <w:szCs w:val="18"/>
        </w:rPr>
        <w:t>trzecich,</w:t>
      </w:r>
      <w:proofErr w:type="gramEnd"/>
      <w:r w:rsidRPr="00532259">
        <w:rPr>
          <w:rFonts w:ascii="Verdana" w:hAnsi="Verdana"/>
          <w:sz w:val="18"/>
          <w:szCs w:val="18"/>
        </w:rPr>
        <w:t xml:space="preserve"> bądź ich braku, oświadczenie o </w:t>
      </w:r>
      <w:proofErr w:type="gramStart"/>
      <w:r w:rsidRPr="00532259">
        <w:rPr>
          <w:rFonts w:ascii="Verdana" w:hAnsi="Verdana"/>
          <w:sz w:val="18"/>
          <w:szCs w:val="18"/>
        </w:rPr>
        <w:t>nie zaleganiu</w:t>
      </w:r>
      <w:proofErr w:type="gramEnd"/>
      <w:r w:rsidRPr="00532259">
        <w:rPr>
          <w:rFonts w:ascii="Verdana" w:hAnsi="Verdana"/>
          <w:sz w:val="18"/>
          <w:szCs w:val="18"/>
        </w:rPr>
        <w:t xml:space="preserve">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w:t>
      </w:r>
      <w:proofErr w:type="gramStart"/>
      <w:r w:rsidRPr="00E9741F">
        <w:rPr>
          <w:rFonts w:ascii="Verdana" w:hAnsi="Verdana"/>
          <w:sz w:val="18"/>
          <w:szCs w:val="18"/>
        </w:rPr>
        <w:t>nie posiadaniu</w:t>
      </w:r>
      <w:proofErr w:type="gramEnd"/>
      <w:r w:rsidRPr="00E9741F">
        <w:rPr>
          <w:rFonts w:ascii="Verdana" w:hAnsi="Verdana"/>
          <w:sz w:val="18"/>
          <w:szCs w:val="18"/>
        </w:rPr>
        <w:t xml:space="preserve">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poręczenie </w:t>
      </w:r>
      <w:proofErr w:type="gramStart"/>
      <w:r w:rsidRPr="00532259">
        <w:rPr>
          <w:rFonts w:ascii="Verdana" w:hAnsi="Verdana"/>
          <w:color w:val="000000"/>
          <w:sz w:val="18"/>
          <w:szCs w:val="18"/>
        </w:rPr>
        <w:t>wekslowe,  hipoteka</w:t>
      </w:r>
      <w:proofErr w:type="gramEnd"/>
      <w:r w:rsidRPr="00532259">
        <w:rPr>
          <w:rFonts w:ascii="Verdana" w:hAnsi="Verdana"/>
          <w:color w:val="000000"/>
          <w:sz w:val="18"/>
          <w:szCs w:val="18"/>
        </w:rPr>
        <w:t>,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w:t>
      </w:r>
      <w:r w:rsidRPr="00532259">
        <w:rPr>
          <w:rFonts w:ascii="Verdana" w:hAnsi="Verdana"/>
          <w:color w:val="000000"/>
          <w:sz w:val="18"/>
          <w:szCs w:val="18"/>
        </w:rPr>
        <w:lastRenderedPageBreak/>
        <w:t>będzie złożyć oświadczenie w formie aktu notarialnego o poddaniu się egzekucji w zakresie obowiązku wydania nieruchomości, stosownie do art. 777 § 1 pkt 4 ustawy z dnia 17 listopada 1964 roku Kodeks postępowania cywilnego (Dz.U.2014.101 t.j. z p.z.)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w:t>
      </w:r>
      <w:proofErr w:type="gramStart"/>
      <w:r w:rsidRPr="00532259">
        <w:rPr>
          <w:rFonts w:ascii="Verdana" w:hAnsi="Verdana"/>
          <w:color w:val="000000"/>
          <w:sz w:val="18"/>
          <w:szCs w:val="18"/>
        </w:rPr>
        <w:t xml:space="preserve">prowadzącej </w:t>
      </w:r>
      <w:r w:rsidR="00E77DD8">
        <w:rPr>
          <w:rFonts w:ascii="Verdana" w:hAnsi="Verdana"/>
          <w:color w:val="000000"/>
          <w:sz w:val="18"/>
          <w:szCs w:val="18"/>
        </w:rPr>
        <w:t xml:space="preserve"> m.in.</w:t>
      </w:r>
      <w:proofErr w:type="gramEnd"/>
      <w:r w:rsidR="00E77DD8">
        <w:rPr>
          <w:rFonts w:ascii="Verdana" w:hAnsi="Verdana"/>
          <w:color w:val="000000"/>
          <w:sz w:val="18"/>
          <w:szCs w:val="18"/>
        </w:rPr>
        <w:t xml:space="preserve">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w:t>
      </w:r>
      <w:r w:rsidRPr="00E77DD8">
        <w:rPr>
          <w:rFonts w:ascii="Verdana" w:eastAsia="Calibri" w:hAnsi="Verdana"/>
          <w:spacing w:val="-3"/>
          <w:sz w:val="18"/>
          <w:szCs w:val="18"/>
          <w:lang w:eastAsia="en-US"/>
        </w:rPr>
        <w:lastRenderedPageBreak/>
        <w:t>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w:t>
      </w:r>
      <w:proofErr w:type="gramStart"/>
      <w:r w:rsidRPr="00E77DD8">
        <w:rPr>
          <w:rFonts w:ascii="Verdana" w:eastAsia="Calibri" w:hAnsi="Verdana"/>
          <w:spacing w:val="-3"/>
          <w:sz w:val="18"/>
          <w:szCs w:val="18"/>
          <w:lang w:eastAsia="en-US"/>
        </w:rPr>
        <w:t>trzecim</w:t>
      </w:r>
      <w:proofErr w:type="gramEnd"/>
      <w:r w:rsidRPr="00E77DD8">
        <w:rPr>
          <w:rFonts w:ascii="Verdana" w:eastAsia="Calibri" w:hAnsi="Verdana"/>
          <w:spacing w:val="-3"/>
          <w:sz w:val="18"/>
          <w:szCs w:val="18"/>
          <w:lang w:eastAsia="en-US"/>
        </w:rPr>
        <w:t xml:space="preserve">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65270079"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1A526E">
        <w:rPr>
          <w:rFonts w:ascii="Verdana" w:hAnsi="Verdana"/>
          <w:sz w:val="18"/>
          <w:szCs w:val="18"/>
        </w:rPr>
        <w:t>22.12</w:t>
      </w:r>
      <w:r w:rsidR="00BB3835">
        <w:rPr>
          <w:rFonts w:ascii="Verdana" w:hAnsi="Verdana"/>
          <w:sz w:val="18"/>
          <w:szCs w:val="18"/>
        </w:rPr>
        <w:t>.2025</w:t>
      </w:r>
      <w:r w:rsidR="00B77DD8">
        <w:rPr>
          <w:rFonts w:ascii="Verdana" w:hAnsi="Verdana"/>
          <w:sz w:val="18"/>
          <w:szCs w:val="18"/>
        </w:rPr>
        <w:t xml:space="preserve"> r.</w:t>
      </w:r>
    </w:p>
    <w:p w14:paraId="689AAA00"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Tomasz Pucek</w:t>
      </w:r>
    </w:p>
    <w:p w14:paraId="1078BF95"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Zastępca Dyrektora </w:t>
      </w:r>
    </w:p>
    <w:p w14:paraId="035A7B18"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4130F187"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0DAEAF86" w14:textId="77777777" w:rsidR="00BE33B1" w:rsidRDefault="00BE33B1" w:rsidP="00B77DD8">
      <w:pPr>
        <w:spacing w:after="120" w:line="240" w:lineRule="auto"/>
        <w:ind w:firstLine="0"/>
        <w:rPr>
          <w:rFonts w:ascii="Verdana" w:hAnsi="Verdana"/>
          <w:sz w:val="18"/>
          <w:szCs w:val="18"/>
        </w:rPr>
      </w:pPr>
    </w:p>
    <w:p w14:paraId="0190553D" w14:textId="77777777" w:rsidR="00B77DD8" w:rsidRDefault="00B77DD8" w:rsidP="00B77DD8">
      <w:pPr>
        <w:spacing w:after="120" w:line="240" w:lineRule="auto"/>
        <w:ind w:firstLine="0"/>
        <w:rPr>
          <w:rFonts w:ascii="Verdana" w:hAnsi="Verdana"/>
          <w:sz w:val="18"/>
          <w:szCs w:val="18"/>
        </w:rPr>
      </w:pPr>
    </w:p>
    <w:p w14:paraId="1922C96C" w14:textId="77777777" w:rsidR="00B77DD8" w:rsidRDefault="00B77DD8"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617B3FF1"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BB3835">
        <w:rPr>
          <w:rFonts w:ascii="Verdana" w:hAnsi="Verdana"/>
          <w:b/>
          <w:sz w:val="16"/>
          <w:szCs w:val="16"/>
          <w:lang w:eastAsia="ar-SA"/>
        </w:rPr>
        <w:t>02.01.2026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BB3835">
        <w:rPr>
          <w:rFonts w:ascii="Verdana" w:hAnsi="Verdana"/>
          <w:b/>
          <w:sz w:val="16"/>
          <w:szCs w:val="16"/>
          <w:lang w:eastAsia="ar-SA"/>
        </w:rPr>
        <w:t>02.02.2026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5459B5AA"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8C7D98">
        <w:rPr>
          <w:rFonts w:ascii="Verdana" w:hAnsi="Verdana"/>
          <w:sz w:val="16"/>
          <w:szCs w:val="16"/>
        </w:rPr>
        <w:t>Miasta i Gminy Koniecpol</w:t>
      </w:r>
      <w:r w:rsidR="00E65AF4" w:rsidRPr="00781F96">
        <w:rPr>
          <w:rFonts w:ascii="Verdana" w:hAnsi="Verdana"/>
          <w:sz w:val="16"/>
          <w:szCs w:val="16"/>
        </w:rPr>
        <w:t>,</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1"/>
      <w:footerReference w:type="default" r:id="rId12"/>
      <w:headerReference w:type="first" r:id="rId13"/>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AB98" w14:textId="77777777" w:rsidR="00163349" w:rsidRDefault="00163349">
      <w:pPr>
        <w:spacing w:line="240" w:lineRule="auto"/>
      </w:pPr>
      <w:r>
        <w:separator/>
      </w:r>
    </w:p>
  </w:endnote>
  <w:endnote w:type="continuationSeparator" w:id="0">
    <w:p w14:paraId="1DEECA12" w14:textId="77777777" w:rsidR="00163349" w:rsidRDefault="001633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AFE3A" w14:textId="77777777" w:rsidR="00163349" w:rsidRDefault="00163349">
      <w:pPr>
        <w:spacing w:line="240" w:lineRule="auto"/>
      </w:pPr>
      <w:r>
        <w:separator/>
      </w:r>
    </w:p>
  </w:footnote>
  <w:footnote w:type="continuationSeparator" w:id="0">
    <w:p w14:paraId="20D72A1F" w14:textId="77777777" w:rsidR="00163349" w:rsidRDefault="001633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l-PL" w:vendorID="12"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3349"/>
    <w:rsid w:val="00166742"/>
    <w:rsid w:val="00180E84"/>
    <w:rsid w:val="00184C87"/>
    <w:rsid w:val="0019633D"/>
    <w:rsid w:val="001A3B77"/>
    <w:rsid w:val="001A526E"/>
    <w:rsid w:val="001A6818"/>
    <w:rsid w:val="001B0C43"/>
    <w:rsid w:val="001B1873"/>
    <w:rsid w:val="001B22F5"/>
    <w:rsid w:val="001B2CDB"/>
    <w:rsid w:val="001B63CF"/>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50C53"/>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9CE"/>
    <w:rsid w:val="006C3A19"/>
    <w:rsid w:val="006D676A"/>
    <w:rsid w:val="006E0890"/>
    <w:rsid w:val="006E0F6D"/>
    <w:rsid w:val="006F0222"/>
    <w:rsid w:val="006F1E47"/>
    <w:rsid w:val="0070132A"/>
    <w:rsid w:val="007069AA"/>
    <w:rsid w:val="007108CC"/>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C7D98"/>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A39"/>
    <w:rsid w:val="00946F35"/>
    <w:rsid w:val="009522BD"/>
    <w:rsid w:val="00953AF4"/>
    <w:rsid w:val="009549F4"/>
    <w:rsid w:val="00955879"/>
    <w:rsid w:val="0096004B"/>
    <w:rsid w:val="00962C58"/>
    <w:rsid w:val="00967B14"/>
    <w:rsid w:val="00972509"/>
    <w:rsid w:val="009740F7"/>
    <w:rsid w:val="00974EFE"/>
    <w:rsid w:val="00977E23"/>
    <w:rsid w:val="0098089D"/>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0585"/>
    <w:rsid w:val="009E1467"/>
    <w:rsid w:val="009E43CC"/>
    <w:rsid w:val="009E7A02"/>
    <w:rsid w:val="009F1B6C"/>
    <w:rsid w:val="009F3009"/>
    <w:rsid w:val="009F7A0A"/>
    <w:rsid w:val="00A01795"/>
    <w:rsid w:val="00A0289B"/>
    <w:rsid w:val="00A16362"/>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61994"/>
    <w:rsid w:val="00B630D9"/>
    <w:rsid w:val="00B670B3"/>
    <w:rsid w:val="00B7660E"/>
    <w:rsid w:val="00B77DD8"/>
    <w:rsid w:val="00B96145"/>
    <w:rsid w:val="00B96D14"/>
    <w:rsid w:val="00BA0C6C"/>
    <w:rsid w:val="00BA1883"/>
    <w:rsid w:val="00BB2D34"/>
    <w:rsid w:val="00BB3835"/>
    <w:rsid w:val="00BB5406"/>
    <w:rsid w:val="00BB7D29"/>
    <w:rsid w:val="00BC3AC8"/>
    <w:rsid w:val="00BD0DFE"/>
    <w:rsid w:val="00BD2C76"/>
    <w:rsid w:val="00BD61F4"/>
    <w:rsid w:val="00BD6C5C"/>
    <w:rsid w:val="00BE33B1"/>
    <w:rsid w:val="00BE348A"/>
    <w:rsid w:val="00BE4565"/>
    <w:rsid w:val="00BE5BD9"/>
    <w:rsid w:val="00BF0C8A"/>
    <w:rsid w:val="00BF1428"/>
    <w:rsid w:val="00BF4EE3"/>
    <w:rsid w:val="00BF57D9"/>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91A1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150E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132</TotalTime>
  <Pages>8</Pages>
  <Words>5072</Words>
  <Characters>30438</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10</cp:revision>
  <cp:lastPrinted>2024-06-19T06:35:00Z</cp:lastPrinted>
  <dcterms:created xsi:type="dcterms:W3CDTF">2025-10-08T11:01:00Z</dcterms:created>
  <dcterms:modified xsi:type="dcterms:W3CDTF">2025-12-19T14:02:00Z</dcterms:modified>
</cp:coreProperties>
</file>