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0E4687F6"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2F0AEB">
        <w:rPr>
          <w:rFonts w:ascii="Verdana" w:hAnsi="Verdana" w:cs="Arial"/>
          <w:b/>
          <w:sz w:val="18"/>
          <w:szCs w:val="18"/>
        </w:rPr>
        <w:t>2</w:t>
      </w:r>
      <w:r w:rsidR="0002021F">
        <w:rPr>
          <w:rFonts w:ascii="Verdana" w:hAnsi="Verdana" w:cs="Arial"/>
          <w:b/>
          <w:sz w:val="18"/>
          <w:szCs w:val="18"/>
        </w:rPr>
        <w:t>2</w:t>
      </w:r>
      <w:r w:rsidR="00DE6FEA">
        <w:rPr>
          <w:rFonts w:ascii="Verdana" w:hAnsi="Verdana" w:cs="Arial"/>
          <w:b/>
          <w:sz w:val="18"/>
          <w:szCs w:val="18"/>
        </w:rPr>
        <w:t>2</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02021F">
        <w:rPr>
          <w:rFonts w:ascii="Verdana" w:hAnsi="Verdana" w:cs="Arial"/>
          <w:b/>
          <w:sz w:val="18"/>
          <w:szCs w:val="18"/>
        </w:rPr>
        <w:t>7</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10B0060C"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02021F">
        <w:rPr>
          <w:rFonts w:ascii="Verdana" w:hAnsi="Verdana" w:cs="FuturaMdPL-Regular"/>
          <w:b/>
          <w:smallCaps/>
          <w:color w:val="000000"/>
          <w:sz w:val="20"/>
        </w:rPr>
        <w:t>Psary</w:t>
      </w:r>
      <w:r w:rsidRPr="007069AA">
        <w:rPr>
          <w:rFonts w:ascii="Verdana" w:hAnsi="Verdana" w:cs="FuturaMdPL-Regular"/>
          <w:b/>
          <w:sz w:val="20"/>
        </w:rPr>
        <w:t>,</w:t>
      </w:r>
      <w:r w:rsidR="004C306D" w:rsidRPr="007069AA">
        <w:rPr>
          <w:rFonts w:ascii="Verdana" w:hAnsi="Verdana" w:cs="FuturaMdPL-Regular"/>
          <w:sz w:val="20"/>
        </w:rPr>
        <w:t xml:space="preserve"> powiat </w:t>
      </w:r>
      <w:r w:rsidR="002F0AEB">
        <w:rPr>
          <w:rFonts w:ascii="Verdana" w:hAnsi="Verdana" w:cs="FuturaMdPL-Regular"/>
          <w:sz w:val="20"/>
        </w:rPr>
        <w:t>będziński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471EAB25"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02021F">
        <w:rPr>
          <w:rFonts w:ascii="Verdana" w:hAnsi="Verdana" w:cs="FuturaMdPL-Regular"/>
          <w:sz w:val="18"/>
          <w:szCs w:val="18"/>
        </w:rPr>
        <w:t>22</w:t>
      </w:r>
      <w:r w:rsidR="00DE6FEA">
        <w:rPr>
          <w:rFonts w:ascii="Verdana" w:hAnsi="Verdana" w:cs="FuturaMdPL-Regular"/>
          <w:sz w:val="18"/>
          <w:szCs w:val="18"/>
        </w:rPr>
        <w:t>2</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02021F">
        <w:rPr>
          <w:rFonts w:ascii="Verdana" w:hAnsi="Verdana" w:cs="FuturaMdPL-Regular"/>
          <w:sz w:val="18"/>
          <w:szCs w:val="18"/>
        </w:rPr>
        <w:t>Psary</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02021F">
        <w:rPr>
          <w:rFonts w:ascii="Verdana" w:hAnsi="Verdana" w:cs="FuturaMdPL-Regular"/>
          <w:b/>
          <w:sz w:val="18"/>
          <w:szCs w:val="18"/>
        </w:rPr>
        <w:t>26.11.2025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w:t>
      </w:r>
      <w:proofErr w:type="spellStart"/>
      <w:r w:rsidR="00A54D04">
        <w:rPr>
          <w:rFonts w:ascii="Verdana" w:hAnsi="Verdana"/>
          <w:spacing w:val="-3"/>
          <w:sz w:val="18"/>
          <w:szCs w:val="18"/>
        </w:rPr>
        <w:t>t.j</w:t>
      </w:r>
      <w:proofErr w:type="spellEnd"/>
      <w:r w:rsidR="00A54D04">
        <w:rPr>
          <w:rFonts w:ascii="Verdana" w:hAnsi="Verdana"/>
          <w:spacing w:val="-3"/>
          <w:sz w:val="18"/>
          <w:szCs w:val="18"/>
        </w:rPr>
        <w:t>.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71A80E68" w14:textId="77777777" w:rsidR="0002021F" w:rsidRDefault="0002021F" w:rsidP="0002021F">
      <w:pPr>
        <w:pStyle w:val="Akapitzlist"/>
        <w:autoSpaceDE w:val="0"/>
        <w:autoSpaceDN w:val="0"/>
        <w:adjustRightInd w:val="0"/>
        <w:spacing w:line="240" w:lineRule="auto"/>
        <w:ind w:firstLine="0"/>
        <w:jc w:val="both"/>
        <w:rPr>
          <w:rFonts w:ascii="Verdana" w:hAnsi="Verdana"/>
          <w:color w:val="000000"/>
          <w:sz w:val="18"/>
          <w:szCs w:val="18"/>
        </w:rPr>
      </w:pPr>
    </w:p>
    <w:p w14:paraId="6E08DC7B" w14:textId="3E112DDA" w:rsidR="00DE6FEA" w:rsidRDefault="00DE6FEA" w:rsidP="00C67D70">
      <w:pPr>
        <w:pStyle w:val="Akapitzlist"/>
        <w:autoSpaceDE w:val="0"/>
        <w:autoSpaceDN w:val="0"/>
        <w:adjustRightInd w:val="0"/>
        <w:spacing w:line="240" w:lineRule="auto"/>
        <w:ind w:firstLine="0"/>
        <w:jc w:val="both"/>
        <w:rPr>
          <w:rFonts w:ascii="Verdana" w:hAnsi="Verdana"/>
          <w:color w:val="000000"/>
          <w:sz w:val="18"/>
          <w:szCs w:val="18"/>
        </w:rPr>
      </w:pPr>
    </w:p>
    <w:tbl>
      <w:tblPr>
        <w:tblW w:w="7148" w:type="dxa"/>
        <w:jc w:val="center"/>
        <w:tblCellMar>
          <w:left w:w="70" w:type="dxa"/>
          <w:right w:w="70" w:type="dxa"/>
        </w:tblCellMar>
        <w:tblLook w:val="04A0" w:firstRow="1" w:lastRow="0" w:firstColumn="1" w:lastColumn="0" w:noHBand="0" w:noVBand="1"/>
      </w:tblPr>
      <w:tblGrid>
        <w:gridCol w:w="341"/>
        <w:gridCol w:w="1020"/>
        <w:gridCol w:w="423"/>
        <w:gridCol w:w="616"/>
        <w:gridCol w:w="992"/>
        <w:gridCol w:w="605"/>
        <w:gridCol w:w="642"/>
        <w:gridCol w:w="700"/>
        <w:gridCol w:w="642"/>
        <w:gridCol w:w="642"/>
        <w:gridCol w:w="642"/>
      </w:tblGrid>
      <w:tr w:rsidR="00DE6FEA" w:rsidRPr="00DE6FEA" w14:paraId="58C92702" w14:textId="77777777" w:rsidTr="00DE6FEA">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64FF3AF7" w14:textId="77777777" w:rsidR="00DE6FEA" w:rsidRPr="00DE6FEA" w:rsidRDefault="00DE6FEA" w:rsidP="00DE6FEA">
            <w:pPr>
              <w:spacing w:line="240" w:lineRule="auto"/>
              <w:ind w:firstLine="0"/>
              <w:jc w:val="center"/>
              <w:rPr>
                <w:rFonts w:ascii="Arial Narrow" w:hAnsi="Arial Narrow"/>
                <w:b/>
                <w:bCs/>
                <w:sz w:val="20"/>
              </w:rPr>
            </w:pPr>
            <w:proofErr w:type="spellStart"/>
            <w:r w:rsidRPr="00DE6FEA">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14:paraId="2E85FF4E"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14:paraId="65A02A8D" w14:textId="77777777" w:rsidR="00DE6FEA" w:rsidRPr="00DE6FEA" w:rsidRDefault="00DE6FEA" w:rsidP="00DE6FEA">
            <w:pPr>
              <w:spacing w:line="240" w:lineRule="auto"/>
              <w:ind w:firstLine="0"/>
              <w:jc w:val="center"/>
              <w:rPr>
                <w:rFonts w:ascii="Arial Narrow" w:hAnsi="Arial Narrow"/>
                <w:b/>
                <w:bCs/>
                <w:sz w:val="20"/>
              </w:rPr>
            </w:pPr>
            <w:proofErr w:type="spellStart"/>
            <w:r w:rsidRPr="00DE6FEA">
              <w:rPr>
                <w:rFonts w:ascii="Arial Narrow" w:hAnsi="Arial Narrow"/>
                <w:b/>
                <w:bCs/>
                <w:sz w:val="20"/>
              </w:rPr>
              <w:t>k.m</w:t>
            </w:r>
            <w:proofErr w:type="spellEnd"/>
          </w:p>
        </w:tc>
        <w:tc>
          <w:tcPr>
            <w:tcW w:w="616" w:type="dxa"/>
            <w:tcBorders>
              <w:top w:val="single" w:sz="8" w:space="0" w:color="auto"/>
              <w:left w:val="nil"/>
              <w:bottom w:val="single" w:sz="8" w:space="0" w:color="auto"/>
              <w:right w:val="single" w:sz="4" w:space="0" w:color="auto"/>
            </w:tcBorders>
            <w:shd w:val="clear" w:color="000000" w:fill="C0C0C0"/>
            <w:noWrap/>
            <w:vAlign w:val="bottom"/>
            <w:hideMark/>
          </w:tcPr>
          <w:p w14:paraId="4C8D4D8C"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14:paraId="63E4C408"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 xml:space="preserve">pow. </w:t>
            </w:r>
            <w:proofErr w:type="spellStart"/>
            <w:r w:rsidRPr="00DE6FEA">
              <w:rPr>
                <w:rFonts w:ascii="Arial Narrow" w:hAnsi="Arial Narrow"/>
                <w:b/>
                <w:bCs/>
                <w:sz w:val="20"/>
              </w:rPr>
              <w:t>ewid</w:t>
            </w:r>
            <w:proofErr w:type="spellEnd"/>
            <w:r w:rsidRPr="00DE6FEA">
              <w:rPr>
                <w:rFonts w:ascii="Arial Narrow" w:hAnsi="Arial Narrow"/>
                <w:b/>
                <w:bCs/>
                <w:sz w:val="20"/>
              </w:rPr>
              <w:t>.</w:t>
            </w:r>
          </w:p>
        </w:tc>
        <w:tc>
          <w:tcPr>
            <w:tcW w:w="488" w:type="dxa"/>
            <w:tcBorders>
              <w:top w:val="single" w:sz="8" w:space="0" w:color="auto"/>
              <w:left w:val="nil"/>
              <w:bottom w:val="single" w:sz="8" w:space="0" w:color="auto"/>
              <w:right w:val="single" w:sz="4" w:space="0" w:color="auto"/>
            </w:tcBorders>
            <w:shd w:val="clear" w:color="000000" w:fill="C0C0C0"/>
            <w:noWrap/>
            <w:vAlign w:val="bottom"/>
            <w:hideMark/>
          </w:tcPr>
          <w:p w14:paraId="5A414E62"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1668D986" w14:textId="77777777" w:rsidR="00DE6FEA" w:rsidRPr="00DE6FEA" w:rsidRDefault="00DE6FEA" w:rsidP="00DE6FEA">
            <w:pPr>
              <w:spacing w:line="240" w:lineRule="auto"/>
              <w:ind w:firstLine="0"/>
              <w:jc w:val="center"/>
              <w:rPr>
                <w:rFonts w:ascii="Arial Narrow" w:hAnsi="Arial Narrow"/>
                <w:b/>
                <w:bCs/>
                <w:sz w:val="20"/>
              </w:rPr>
            </w:pPr>
            <w:proofErr w:type="spellStart"/>
            <w:r w:rsidRPr="00DE6FEA">
              <w:rPr>
                <w:rFonts w:ascii="Arial Narrow" w:hAnsi="Arial Narrow"/>
                <w:b/>
                <w:bCs/>
                <w:sz w:val="20"/>
              </w:rPr>
              <w:t>RIVb</w:t>
            </w:r>
            <w:proofErr w:type="spellEnd"/>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4F6DADF0"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3DB6BC3C"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266020CA"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0D6BACD"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B</w:t>
            </w:r>
          </w:p>
        </w:tc>
      </w:tr>
      <w:tr w:rsidR="00DE6FEA" w:rsidRPr="00DE6FEA" w14:paraId="2D0F5F46" w14:textId="77777777" w:rsidTr="00DE6FEA">
        <w:trPr>
          <w:trHeight w:val="270"/>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37EA5E14"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1</w:t>
            </w:r>
          </w:p>
        </w:tc>
        <w:tc>
          <w:tcPr>
            <w:tcW w:w="1020" w:type="dxa"/>
            <w:tcBorders>
              <w:top w:val="single" w:sz="4" w:space="0" w:color="auto"/>
              <w:left w:val="nil"/>
              <w:bottom w:val="single" w:sz="4" w:space="0" w:color="auto"/>
              <w:right w:val="single" w:sz="4" w:space="0" w:color="auto"/>
            </w:tcBorders>
            <w:noWrap/>
            <w:vAlign w:val="bottom"/>
            <w:hideMark/>
          </w:tcPr>
          <w:p w14:paraId="352803C0"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Sarnów</w:t>
            </w:r>
          </w:p>
        </w:tc>
        <w:tc>
          <w:tcPr>
            <w:tcW w:w="423" w:type="dxa"/>
            <w:tcBorders>
              <w:top w:val="single" w:sz="4" w:space="0" w:color="auto"/>
              <w:left w:val="nil"/>
              <w:bottom w:val="single" w:sz="4" w:space="0" w:color="auto"/>
              <w:right w:val="single" w:sz="4" w:space="0" w:color="auto"/>
            </w:tcBorders>
            <w:noWrap/>
            <w:vAlign w:val="bottom"/>
            <w:hideMark/>
          </w:tcPr>
          <w:p w14:paraId="5B24B876"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5</w:t>
            </w:r>
          </w:p>
        </w:tc>
        <w:tc>
          <w:tcPr>
            <w:tcW w:w="616" w:type="dxa"/>
            <w:tcBorders>
              <w:top w:val="single" w:sz="4" w:space="0" w:color="auto"/>
              <w:left w:val="nil"/>
              <w:bottom w:val="single" w:sz="4" w:space="0" w:color="auto"/>
              <w:right w:val="single" w:sz="4" w:space="0" w:color="auto"/>
            </w:tcBorders>
            <w:noWrap/>
            <w:vAlign w:val="bottom"/>
            <w:hideMark/>
          </w:tcPr>
          <w:p w14:paraId="2AC56D4C"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298/3</w:t>
            </w:r>
          </w:p>
        </w:tc>
        <w:tc>
          <w:tcPr>
            <w:tcW w:w="992" w:type="dxa"/>
            <w:tcBorders>
              <w:top w:val="nil"/>
              <w:left w:val="nil"/>
              <w:bottom w:val="single" w:sz="4" w:space="0" w:color="auto"/>
              <w:right w:val="single" w:sz="4" w:space="0" w:color="auto"/>
            </w:tcBorders>
            <w:noWrap/>
            <w:vAlign w:val="bottom"/>
            <w:hideMark/>
          </w:tcPr>
          <w:p w14:paraId="72FEBBB2"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2,5974</w:t>
            </w:r>
          </w:p>
        </w:tc>
        <w:tc>
          <w:tcPr>
            <w:tcW w:w="488" w:type="dxa"/>
            <w:tcBorders>
              <w:top w:val="nil"/>
              <w:left w:val="nil"/>
              <w:bottom w:val="single" w:sz="4" w:space="0" w:color="auto"/>
              <w:right w:val="single" w:sz="4" w:space="0" w:color="auto"/>
            </w:tcBorders>
            <w:noWrap/>
            <w:vAlign w:val="bottom"/>
            <w:hideMark/>
          </w:tcPr>
          <w:p w14:paraId="3173999F"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1/1</w:t>
            </w:r>
          </w:p>
        </w:tc>
        <w:tc>
          <w:tcPr>
            <w:tcW w:w="642" w:type="dxa"/>
            <w:tcBorders>
              <w:top w:val="single" w:sz="4" w:space="0" w:color="auto"/>
              <w:left w:val="nil"/>
              <w:bottom w:val="single" w:sz="4" w:space="0" w:color="auto"/>
              <w:right w:val="single" w:sz="4" w:space="0" w:color="auto"/>
            </w:tcBorders>
            <w:noWrap/>
            <w:vAlign w:val="bottom"/>
            <w:hideMark/>
          </w:tcPr>
          <w:p w14:paraId="3AD92947"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0,7634</w:t>
            </w:r>
          </w:p>
        </w:tc>
        <w:tc>
          <w:tcPr>
            <w:tcW w:w="700" w:type="dxa"/>
            <w:tcBorders>
              <w:top w:val="single" w:sz="4" w:space="0" w:color="auto"/>
              <w:left w:val="nil"/>
              <w:bottom w:val="single" w:sz="4" w:space="0" w:color="auto"/>
              <w:right w:val="single" w:sz="4" w:space="0" w:color="auto"/>
            </w:tcBorders>
            <w:noWrap/>
            <w:vAlign w:val="bottom"/>
            <w:hideMark/>
          </w:tcPr>
          <w:p w14:paraId="38114B55"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1,3011</w:t>
            </w:r>
          </w:p>
        </w:tc>
        <w:tc>
          <w:tcPr>
            <w:tcW w:w="642" w:type="dxa"/>
            <w:tcBorders>
              <w:top w:val="single" w:sz="4" w:space="0" w:color="auto"/>
              <w:left w:val="nil"/>
              <w:bottom w:val="single" w:sz="4" w:space="0" w:color="auto"/>
              <w:right w:val="single" w:sz="4" w:space="0" w:color="auto"/>
            </w:tcBorders>
            <w:noWrap/>
            <w:vAlign w:val="bottom"/>
            <w:hideMark/>
          </w:tcPr>
          <w:p w14:paraId="0A83BABF"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0,0881</w:t>
            </w:r>
          </w:p>
        </w:tc>
        <w:tc>
          <w:tcPr>
            <w:tcW w:w="642" w:type="dxa"/>
            <w:tcBorders>
              <w:top w:val="single" w:sz="4" w:space="0" w:color="auto"/>
              <w:left w:val="nil"/>
              <w:bottom w:val="single" w:sz="4" w:space="0" w:color="auto"/>
              <w:right w:val="single" w:sz="4" w:space="0" w:color="auto"/>
            </w:tcBorders>
            <w:noWrap/>
            <w:vAlign w:val="bottom"/>
            <w:hideMark/>
          </w:tcPr>
          <w:p w14:paraId="7A9FF412"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0,4124</w:t>
            </w:r>
          </w:p>
        </w:tc>
        <w:tc>
          <w:tcPr>
            <w:tcW w:w="642" w:type="dxa"/>
            <w:tcBorders>
              <w:top w:val="nil"/>
              <w:left w:val="nil"/>
              <w:bottom w:val="single" w:sz="4" w:space="0" w:color="auto"/>
              <w:right w:val="single" w:sz="4" w:space="0" w:color="auto"/>
            </w:tcBorders>
            <w:noWrap/>
            <w:vAlign w:val="bottom"/>
            <w:hideMark/>
          </w:tcPr>
          <w:p w14:paraId="656349B4"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0,0324</w:t>
            </w:r>
          </w:p>
        </w:tc>
      </w:tr>
      <w:tr w:rsidR="00DE6FEA" w:rsidRPr="00DE6FEA" w14:paraId="564DE0CC" w14:textId="77777777" w:rsidTr="00DE6FEA">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41C6D4F3" w14:textId="77777777" w:rsidR="00DE6FEA" w:rsidRPr="00DE6FEA" w:rsidRDefault="00DE6FEA" w:rsidP="00DE6FEA">
            <w:pPr>
              <w:spacing w:line="240" w:lineRule="auto"/>
              <w:ind w:firstLine="0"/>
              <w:jc w:val="center"/>
              <w:rPr>
                <w:rFonts w:ascii="Arial Narrow" w:hAnsi="Arial Narrow"/>
                <w:sz w:val="20"/>
              </w:rPr>
            </w:pPr>
            <w:r w:rsidRPr="00DE6FEA">
              <w:rPr>
                <w:rFonts w:ascii="Arial Narrow" w:hAnsi="Arial Narrow"/>
                <w:sz w:val="20"/>
              </w:rPr>
              <w:t> </w:t>
            </w:r>
          </w:p>
        </w:tc>
        <w:tc>
          <w:tcPr>
            <w:tcW w:w="1020" w:type="dxa"/>
            <w:tcBorders>
              <w:top w:val="nil"/>
              <w:left w:val="nil"/>
              <w:bottom w:val="single" w:sz="4" w:space="0" w:color="auto"/>
              <w:right w:val="nil"/>
            </w:tcBorders>
            <w:noWrap/>
            <w:vAlign w:val="bottom"/>
            <w:hideMark/>
          </w:tcPr>
          <w:p w14:paraId="03E443ED" w14:textId="77777777" w:rsidR="00DE6FEA" w:rsidRPr="00DE6FEA" w:rsidRDefault="00DE6FEA" w:rsidP="00DE6FEA">
            <w:pPr>
              <w:spacing w:line="240" w:lineRule="auto"/>
              <w:ind w:firstLine="0"/>
              <w:rPr>
                <w:rFonts w:ascii="Arial Narrow" w:hAnsi="Arial Narrow"/>
                <w:sz w:val="20"/>
              </w:rPr>
            </w:pPr>
            <w:r w:rsidRPr="00DE6FEA">
              <w:rPr>
                <w:rFonts w:ascii="Arial Narrow" w:hAnsi="Arial Narrow"/>
                <w:sz w:val="20"/>
              </w:rPr>
              <w:t>Razem</w:t>
            </w:r>
          </w:p>
        </w:tc>
        <w:tc>
          <w:tcPr>
            <w:tcW w:w="423" w:type="dxa"/>
            <w:tcBorders>
              <w:top w:val="nil"/>
              <w:left w:val="nil"/>
              <w:bottom w:val="single" w:sz="4" w:space="0" w:color="auto"/>
              <w:right w:val="nil"/>
            </w:tcBorders>
            <w:noWrap/>
            <w:vAlign w:val="bottom"/>
            <w:hideMark/>
          </w:tcPr>
          <w:p w14:paraId="670E7FCF" w14:textId="77777777" w:rsidR="00DE6FEA" w:rsidRPr="00DE6FEA" w:rsidRDefault="00DE6FEA" w:rsidP="00DE6FEA">
            <w:pPr>
              <w:spacing w:line="240" w:lineRule="auto"/>
              <w:ind w:firstLine="0"/>
              <w:rPr>
                <w:rFonts w:ascii="Arial Narrow" w:hAnsi="Arial Narrow"/>
                <w:sz w:val="20"/>
              </w:rPr>
            </w:pPr>
            <w:r w:rsidRPr="00DE6FEA">
              <w:rPr>
                <w:rFonts w:ascii="Arial Narrow" w:hAnsi="Arial Narrow"/>
                <w:sz w:val="20"/>
              </w:rPr>
              <w:t> </w:t>
            </w:r>
          </w:p>
        </w:tc>
        <w:tc>
          <w:tcPr>
            <w:tcW w:w="616" w:type="dxa"/>
            <w:tcBorders>
              <w:top w:val="nil"/>
              <w:left w:val="nil"/>
              <w:bottom w:val="single" w:sz="4" w:space="0" w:color="auto"/>
              <w:right w:val="single" w:sz="4" w:space="0" w:color="auto"/>
            </w:tcBorders>
            <w:noWrap/>
            <w:vAlign w:val="bottom"/>
            <w:hideMark/>
          </w:tcPr>
          <w:p w14:paraId="324A288D" w14:textId="77777777" w:rsidR="00DE6FEA" w:rsidRPr="00DE6FEA" w:rsidRDefault="00DE6FEA" w:rsidP="00DE6FEA">
            <w:pPr>
              <w:spacing w:line="240" w:lineRule="auto"/>
              <w:ind w:firstLine="0"/>
              <w:rPr>
                <w:rFonts w:ascii="Arial Narrow" w:hAnsi="Arial Narrow"/>
                <w:sz w:val="20"/>
              </w:rPr>
            </w:pPr>
            <w:r w:rsidRPr="00DE6FEA">
              <w:rPr>
                <w:rFonts w:ascii="Arial Narrow" w:hAnsi="Arial Narrow"/>
                <w:sz w:val="20"/>
              </w:rPr>
              <w:t> </w:t>
            </w:r>
          </w:p>
        </w:tc>
        <w:tc>
          <w:tcPr>
            <w:tcW w:w="992" w:type="dxa"/>
            <w:tcBorders>
              <w:top w:val="single" w:sz="8" w:space="0" w:color="auto"/>
              <w:left w:val="nil"/>
              <w:bottom w:val="single" w:sz="8" w:space="0" w:color="auto"/>
              <w:right w:val="single" w:sz="4" w:space="0" w:color="auto"/>
            </w:tcBorders>
            <w:noWrap/>
            <w:vAlign w:val="bottom"/>
            <w:hideMark/>
          </w:tcPr>
          <w:p w14:paraId="620288D4"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2,5974</w:t>
            </w:r>
          </w:p>
        </w:tc>
        <w:tc>
          <w:tcPr>
            <w:tcW w:w="488" w:type="dxa"/>
            <w:tcBorders>
              <w:top w:val="single" w:sz="8" w:space="0" w:color="auto"/>
              <w:left w:val="nil"/>
              <w:bottom w:val="single" w:sz="8" w:space="0" w:color="auto"/>
              <w:right w:val="single" w:sz="4" w:space="0" w:color="auto"/>
            </w:tcBorders>
            <w:noWrap/>
            <w:vAlign w:val="bottom"/>
            <w:hideMark/>
          </w:tcPr>
          <w:p w14:paraId="16482487"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68AE1E04"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0,7634</w:t>
            </w:r>
          </w:p>
        </w:tc>
        <w:tc>
          <w:tcPr>
            <w:tcW w:w="700" w:type="dxa"/>
            <w:tcBorders>
              <w:top w:val="single" w:sz="8" w:space="0" w:color="auto"/>
              <w:left w:val="nil"/>
              <w:bottom w:val="single" w:sz="8" w:space="0" w:color="auto"/>
              <w:right w:val="single" w:sz="4" w:space="0" w:color="auto"/>
            </w:tcBorders>
            <w:noWrap/>
            <w:vAlign w:val="bottom"/>
            <w:hideMark/>
          </w:tcPr>
          <w:p w14:paraId="7AC26A86"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1,3011</w:t>
            </w:r>
          </w:p>
        </w:tc>
        <w:tc>
          <w:tcPr>
            <w:tcW w:w="642" w:type="dxa"/>
            <w:tcBorders>
              <w:top w:val="single" w:sz="8" w:space="0" w:color="auto"/>
              <w:left w:val="nil"/>
              <w:bottom w:val="single" w:sz="8" w:space="0" w:color="auto"/>
              <w:right w:val="single" w:sz="4" w:space="0" w:color="auto"/>
            </w:tcBorders>
            <w:noWrap/>
            <w:vAlign w:val="bottom"/>
            <w:hideMark/>
          </w:tcPr>
          <w:p w14:paraId="0F7D862D"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0,0881</w:t>
            </w:r>
          </w:p>
        </w:tc>
        <w:tc>
          <w:tcPr>
            <w:tcW w:w="642" w:type="dxa"/>
            <w:tcBorders>
              <w:top w:val="single" w:sz="8" w:space="0" w:color="auto"/>
              <w:left w:val="nil"/>
              <w:bottom w:val="single" w:sz="8" w:space="0" w:color="auto"/>
              <w:right w:val="single" w:sz="4" w:space="0" w:color="auto"/>
            </w:tcBorders>
            <w:noWrap/>
            <w:vAlign w:val="bottom"/>
            <w:hideMark/>
          </w:tcPr>
          <w:p w14:paraId="5D912A9D"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0,4124</w:t>
            </w:r>
          </w:p>
        </w:tc>
        <w:tc>
          <w:tcPr>
            <w:tcW w:w="642" w:type="dxa"/>
            <w:tcBorders>
              <w:top w:val="single" w:sz="8" w:space="0" w:color="auto"/>
              <w:left w:val="nil"/>
              <w:bottom w:val="single" w:sz="8" w:space="0" w:color="auto"/>
              <w:right w:val="single" w:sz="4" w:space="0" w:color="auto"/>
            </w:tcBorders>
            <w:noWrap/>
            <w:vAlign w:val="bottom"/>
            <w:hideMark/>
          </w:tcPr>
          <w:p w14:paraId="251CA0B4" w14:textId="77777777" w:rsidR="00DE6FEA" w:rsidRPr="00DE6FEA" w:rsidRDefault="00DE6FEA" w:rsidP="00DE6FEA">
            <w:pPr>
              <w:spacing w:line="240" w:lineRule="auto"/>
              <w:ind w:firstLine="0"/>
              <w:jc w:val="center"/>
              <w:rPr>
                <w:rFonts w:ascii="Arial Narrow" w:hAnsi="Arial Narrow"/>
                <w:b/>
                <w:bCs/>
                <w:sz w:val="20"/>
              </w:rPr>
            </w:pPr>
            <w:r w:rsidRPr="00DE6FEA">
              <w:rPr>
                <w:rFonts w:ascii="Arial Narrow" w:hAnsi="Arial Narrow"/>
                <w:b/>
                <w:bCs/>
                <w:sz w:val="20"/>
              </w:rPr>
              <w:t>0,0324</w:t>
            </w:r>
          </w:p>
        </w:tc>
      </w:tr>
    </w:tbl>
    <w:p w14:paraId="1790EBD1" w14:textId="408CA0FD"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130228B3" w14:textId="77777777" w:rsidR="00DE6FEA" w:rsidRPr="0073208B" w:rsidRDefault="00DE6FEA" w:rsidP="00DE6FEA">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działki </w:t>
      </w:r>
      <w:r>
        <w:rPr>
          <w:rFonts w:ascii="Verdana" w:hAnsi="Verdana"/>
          <w:sz w:val="18"/>
          <w:szCs w:val="18"/>
        </w:rPr>
        <w:t xml:space="preserve">Wydział Ksiąg Wieczystych Sądu Rejonowego w Będzinie </w:t>
      </w:r>
      <w:r>
        <w:rPr>
          <w:rFonts w:ascii="Verdana" w:hAnsi="Verdana"/>
          <w:color w:val="000000"/>
          <w:sz w:val="18"/>
          <w:szCs w:val="18"/>
          <w:lang w:eastAsia="ar-SA"/>
        </w:rPr>
        <w:t xml:space="preserve">prowadzi księgę wieczystą o numerze KA1B/00066277/5. </w:t>
      </w:r>
      <w:r>
        <w:rPr>
          <w:rFonts w:ascii="Verdana" w:hAnsi="Verdana"/>
          <w:sz w:val="18"/>
          <w:szCs w:val="18"/>
        </w:rPr>
        <w:t xml:space="preserve">Informacja o obciążeniach i zobowiązaniach: w Dziale III KW ograniczone prawo rzeczowe tj. służebność gruntowa na czas nieoznaczony – prawo przejazdu i przechodu pasem o długości 281 m i szerokości 6 m na rzecz każdoczesnych właścicieli albo posiadaczy działki władnącej nr 298/2. </w:t>
      </w:r>
    </w:p>
    <w:p w14:paraId="54E00BBB" w14:textId="77777777" w:rsidR="00DE6FEA" w:rsidRPr="00C537A8" w:rsidRDefault="00DE6FEA" w:rsidP="00DE6FEA">
      <w:pPr>
        <w:jc w:val="both"/>
        <w:rPr>
          <w:rFonts w:ascii="Verdana" w:hAnsi="Verdana"/>
          <w:sz w:val="18"/>
          <w:szCs w:val="18"/>
        </w:rPr>
      </w:pPr>
    </w:p>
    <w:p w14:paraId="4B86DF34" w14:textId="77777777" w:rsidR="00DE6FEA" w:rsidRPr="00E661C8" w:rsidRDefault="00DE6FEA" w:rsidP="00DE6FEA">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2,5974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102DB49F" w14:textId="77777777" w:rsidR="00DE6FEA" w:rsidRDefault="00DE6FEA" w:rsidP="00DE6FEA">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w:t>
      </w:r>
      <w:proofErr w:type="gramStart"/>
      <w:r>
        <w:rPr>
          <w:rFonts w:ascii="Verdana" w:hAnsi="Verdana"/>
          <w:sz w:val="18"/>
          <w:szCs w:val="18"/>
        </w:rPr>
        <w:t>orne:  2</w:t>
      </w:r>
      <w:proofErr w:type="gramEnd"/>
      <w:r>
        <w:rPr>
          <w:rFonts w:ascii="Verdana" w:hAnsi="Verdana"/>
          <w:sz w:val="18"/>
          <w:szCs w:val="18"/>
        </w:rPr>
        <w:t>,0645 ha</w:t>
      </w:r>
    </w:p>
    <w:p w14:paraId="4476EC5D" w14:textId="77777777" w:rsidR="00DE6FEA" w:rsidRDefault="00DE6FEA" w:rsidP="00DE6FEA">
      <w:pPr>
        <w:ind w:firstLine="0"/>
        <w:jc w:val="both"/>
        <w:rPr>
          <w:rFonts w:ascii="Verdana" w:hAnsi="Verdana"/>
          <w:sz w:val="18"/>
          <w:szCs w:val="18"/>
        </w:rPr>
      </w:pPr>
      <w:r>
        <w:rPr>
          <w:rFonts w:ascii="Verdana" w:hAnsi="Verdana"/>
          <w:sz w:val="18"/>
          <w:szCs w:val="18"/>
        </w:rPr>
        <w:t xml:space="preserve">- łąki </w:t>
      </w:r>
      <w:proofErr w:type="gramStart"/>
      <w:r>
        <w:rPr>
          <w:rFonts w:ascii="Verdana" w:hAnsi="Verdana"/>
          <w:sz w:val="18"/>
          <w:szCs w:val="18"/>
        </w:rPr>
        <w:t xml:space="preserve">trwałe:   </w:t>
      </w:r>
      <w:proofErr w:type="gramEnd"/>
      <w:r>
        <w:rPr>
          <w:rFonts w:ascii="Verdana" w:hAnsi="Verdana"/>
          <w:sz w:val="18"/>
          <w:szCs w:val="18"/>
        </w:rPr>
        <w:t xml:space="preserve"> 0,5005 ha</w:t>
      </w:r>
    </w:p>
    <w:p w14:paraId="215672E5" w14:textId="77777777" w:rsidR="00DE6FEA" w:rsidRDefault="00DE6FEA" w:rsidP="00DE6FEA">
      <w:pPr>
        <w:ind w:firstLine="0"/>
        <w:jc w:val="both"/>
        <w:rPr>
          <w:rFonts w:ascii="Verdana" w:hAnsi="Verdana"/>
          <w:sz w:val="18"/>
          <w:szCs w:val="18"/>
        </w:rPr>
      </w:pPr>
      <w:r>
        <w:rPr>
          <w:rFonts w:ascii="Verdana" w:hAnsi="Verdana"/>
          <w:sz w:val="18"/>
          <w:szCs w:val="18"/>
        </w:rPr>
        <w:t xml:space="preserve">- tereny </w:t>
      </w:r>
      <w:proofErr w:type="gramStart"/>
      <w:r>
        <w:rPr>
          <w:rFonts w:ascii="Verdana" w:hAnsi="Verdana"/>
          <w:sz w:val="18"/>
          <w:szCs w:val="18"/>
        </w:rPr>
        <w:t>mieszkaniowe:  0</w:t>
      </w:r>
      <w:proofErr w:type="gramEnd"/>
      <w:r>
        <w:rPr>
          <w:rFonts w:ascii="Verdana" w:hAnsi="Verdana"/>
          <w:sz w:val="18"/>
          <w:szCs w:val="18"/>
        </w:rPr>
        <w:t>,0324 ha</w:t>
      </w:r>
    </w:p>
    <w:p w14:paraId="0C827D22" w14:textId="77777777" w:rsidR="00DE6FEA" w:rsidRDefault="00DE6FEA" w:rsidP="00DE6FEA">
      <w:pPr>
        <w:jc w:val="both"/>
        <w:rPr>
          <w:rFonts w:ascii="Verdana" w:hAnsi="Verdana"/>
          <w:sz w:val="18"/>
          <w:szCs w:val="18"/>
        </w:rPr>
      </w:pPr>
    </w:p>
    <w:p w14:paraId="05072ED6" w14:textId="39DF468F" w:rsidR="00DE6FEA" w:rsidRPr="00DE6FEA" w:rsidRDefault="00DE6FEA" w:rsidP="00DE6FEA">
      <w:pPr>
        <w:pStyle w:val="Akapitzlist"/>
        <w:numPr>
          <w:ilvl w:val="0"/>
          <w:numId w:val="33"/>
        </w:numPr>
        <w:spacing w:line="240" w:lineRule="auto"/>
        <w:jc w:val="both"/>
        <w:rPr>
          <w:rFonts w:ascii="Verdana" w:hAnsi="Verdana"/>
          <w:sz w:val="18"/>
          <w:szCs w:val="18"/>
        </w:rPr>
      </w:pPr>
      <w:r w:rsidRPr="00DE6FEA">
        <w:rPr>
          <w:rFonts w:ascii="Verdana" w:hAnsi="Verdana"/>
          <w:sz w:val="18"/>
          <w:szCs w:val="18"/>
        </w:rPr>
        <w:t xml:space="preserve">Inne ważne informacje o nieruchomości: działka częściowo zakrzaczona, porośnięta samosiejkami.  </w:t>
      </w:r>
    </w:p>
    <w:p w14:paraId="7F9C8508" w14:textId="77777777" w:rsidR="00DE6FEA" w:rsidRPr="00B1761D" w:rsidRDefault="00DE6FEA" w:rsidP="00DE6FEA">
      <w:pPr>
        <w:ind w:left="284"/>
        <w:jc w:val="both"/>
        <w:rPr>
          <w:rFonts w:ascii="Verdana" w:hAnsi="Verdana"/>
          <w:sz w:val="18"/>
          <w:szCs w:val="18"/>
        </w:rPr>
      </w:pPr>
    </w:p>
    <w:p w14:paraId="32A87413" w14:textId="77777777" w:rsidR="00DE6FEA" w:rsidRDefault="00DE6FEA" w:rsidP="00DE6FEA">
      <w:pPr>
        <w:spacing w:after="60"/>
        <w:ind w:firstLine="0"/>
        <w:jc w:val="both"/>
        <w:rPr>
          <w:rFonts w:ascii="Verdana" w:hAnsi="Verdana"/>
          <w:sz w:val="18"/>
          <w:szCs w:val="18"/>
        </w:rPr>
      </w:pPr>
      <w:r>
        <w:rPr>
          <w:rFonts w:ascii="Verdana" w:hAnsi="Verdana"/>
          <w:sz w:val="18"/>
          <w:szCs w:val="18"/>
        </w:rPr>
        <w:t xml:space="preserve">W miejscowym planie zagospodarowania przestrzennego Gminy Psary działka </w:t>
      </w:r>
      <w:r>
        <w:rPr>
          <w:rFonts w:ascii="Verdana" w:hAnsi="Verdana"/>
          <w:color w:val="000000"/>
          <w:sz w:val="18"/>
          <w:szCs w:val="18"/>
        </w:rPr>
        <w:t>położona jest w części na terenach publicznych usług sportu i rekreacji, w części na terenie komunikacji – dróg publicznych, w części na terenach zabudowy usługowej, w części na terenie zabudowy mieszkaniowej jednorodzinnej, w części na terenach usług publicznych, w części na terenach komunikacji – drogi rowerowe.</w:t>
      </w:r>
      <w:r>
        <w:rPr>
          <w:rFonts w:ascii="Verdana" w:hAnsi="Verdana"/>
          <w:color w:val="FF0000"/>
          <w:sz w:val="18"/>
          <w:szCs w:val="18"/>
        </w:rPr>
        <w:t xml:space="preserve"> </w:t>
      </w:r>
    </w:p>
    <w:p w14:paraId="11C21CAD" w14:textId="77777777" w:rsidR="002F0AEB" w:rsidRDefault="002F0AEB" w:rsidP="00D74E97">
      <w:pPr>
        <w:spacing w:line="276" w:lineRule="auto"/>
        <w:ind w:firstLine="0"/>
        <w:rPr>
          <w:rFonts w:ascii="Verdana" w:hAnsi="Verdana"/>
          <w:sz w:val="18"/>
          <w:szCs w:val="18"/>
        </w:rPr>
      </w:pPr>
    </w:p>
    <w:p w14:paraId="676B20B7" w14:textId="6E47B7B2"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DE6FEA">
        <w:rPr>
          <w:rFonts w:ascii="Verdana" w:hAnsi="Verdana"/>
          <w:b/>
          <w:sz w:val="18"/>
          <w:szCs w:val="18"/>
        </w:rPr>
        <w:t>7,2</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105E56AF"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02021F">
        <w:rPr>
          <w:rFonts w:ascii="Verdana" w:hAnsi="Verdana"/>
          <w:b/>
          <w:spacing w:val="-3"/>
          <w:sz w:val="18"/>
          <w:szCs w:val="18"/>
          <w:u w:val="single"/>
        </w:rPr>
        <w:t>2028</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6AF6FF15"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02.02.2026</w:t>
      </w:r>
      <w:r>
        <w:rPr>
          <w:rFonts w:ascii="Verdana" w:hAnsi="Verdana"/>
          <w:b/>
          <w:sz w:val="20"/>
          <w:lang w:eastAsia="ar-SA"/>
        </w:rPr>
        <w:t xml:space="preserve"> r. o godz. </w:t>
      </w:r>
      <w:r w:rsidR="0002021F">
        <w:rPr>
          <w:rFonts w:ascii="Verdana" w:hAnsi="Verdana"/>
          <w:b/>
          <w:sz w:val="20"/>
          <w:lang w:eastAsia="ar-SA"/>
        </w:rPr>
        <w:t>13:</w:t>
      </w:r>
      <w:r w:rsidR="00DE6FEA">
        <w:rPr>
          <w:rFonts w:ascii="Verdana" w:hAnsi="Verdana"/>
          <w:b/>
          <w:sz w:val="20"/>
          <w:lang w:eastAsia="ar-SA"/>
        </w:rPr>
        <w:t>3</w:t>
      </w:r>
      <w:r w:rsidR="0002021F">
        <w:rPr>
          <w:rFonts w:ascii="Verdana" w:hAnsi="Verdana"/>
          <w:b/>
          <w:sz w:val="20"/>
          <w:lang w:eastAsia="ar-SA"/>
        </w:rPr>
        <w:t>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 xml:space="preserve">Wymóg 5 letniego osobistego prowadzenia gospodarstwa, określonego w przepisach UKUR nie dotyczy </w:t>
      </w:r>
      <w:proofErr w:type="gramStart"/>
      <w:r w:rsidR="0073707A">
        <w:rPr>
          <w:rFonts w:ascii="Verdana" w:hAnsi="Verdana"/>
          <w:spacing w:val="-3"/>
          <w:sz w:val="18"/>
          <w:szCs w:val="18"/>
        </w:rPr>
        <w:t>osób</w:t>
      </w:r>
      <w:proofErr w:type="gramEnd"/>
      <w:r w:rsidR="0073707A">
        <w:rPr>
          <w:rFonts w:ascii="Verdana" w:hAnsi="Verdana"/>
          <w:spacing w:val="-3"/>
          <w:sz w:val="18"/>
          <w:szCs w:val="18"/>
        </w:rPr>
        <w:t xml:space="preserve">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w:t>
      </w:r>
      <w:proofErr w:type="gramStart"/>
      <w:r>
        <w:rPr>
          <w:rFonts w:ascii="Verdana" w:hAnsi="Verdana"/>
          <w:spacing w:val="-3"/>
          <w:sz w:val="18"/>
          <w:szCs w:val="18"/>
        </w:rPr>
        <w:t>( nie</w:t>
      </w:r>
      <w:proofErr w:type="gramEnd"/>
      <w:r>
        <w:rPr>
          <w:rFonts w:ascii="Verdana" w:hAnsi="Verdana"/>
          <w:spacing w:val="-3"/>
          <w:sz w:val="18"/>
          <w:szCs w:val="18"/>
        </w:rPr>
        <w:t xml:space="preserv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w:t>
      </w:r>
      <w:proofErr w:type="gramStart"/>
      <w:r w:rsidR="00F641EB">
        <w:rPr>
          <w:rFonts w:ascii="Verdana" w:hAnsi="Verdana" w:cs="FuturaMdPL-Regular"/>
          <w:sz w:val="18"/>
          <w:szCs w:val="18"/>
        </w:rPr>
        <w:t>1997r.</w:t>
      </w:r>
      <w:proofErr w:type="gramEnd"/>
      <w:r w:rsidR="00F641EB">
        <w:rPr>
          <w:rFonts w:ascii="Verdana" w:hAnsi="Verdana" w:cs="FuturaMdPL-Regular"/>
          <w:sz w:val="18"/>
          <w:szCs w:val="18"/>
        </w:rPr>
        <w:t xml:space="preserve">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w:t>
      </w:r>
      <w:proofErr w:type="spellStart"/>
      <w:r w:rsidR="00955879">
        <w:rPr>
          <w:rFonts w:ascii="Verdana" w:hAnsi="Verdana" w:cs="FuturaMdPL-Regular"/>
          <w:sz w:val="18"/>
          <w:szCs w:val="18"/>
        </w:rPr>
        <w:t>ugnrSP</w:t>
      </w:r>
      <w:proofErr w:type="spellEnd"/>
      <w:r w:rsidR="00955879">
        <w:rPr>
          <w:rFonts w:ascii="Verdana" w:hAnsi="Verdana" w:cs="FuturaMdPL-Regular"/>
          <w:sz w:val="18"/>
          <w:szCs w:val="18"/>
        </w:rPr>
        <w:t xml:space="preserve"> </w:t>
      </w:r>
      <w:proofErr w:type="gramStart"/>
      <w:r w:rsidR="00955879">
        <w:rPr>
          <w:rFonts w:ascii="Verdana" w:hAnsi="Verdana" w:cs="FuturaMdPL-Regular"/>
          <w:sz w:val="18"/>
          <w:szCs w:val="18"/>
        </w:rPr>
        <w:t>( dotyczy</w:t>
      </w:r>
      <w:proofErr w:type="gramEnd"/>
      <w:r w:rsidR="00955879">
        <w:rPr>
          <w:rFonts w:ascii="Verdana" w:hAnsi="Verdana" w:cs="FuturaMdPL-Regular"/>
          <w:sz w:val="18"/>
          <w:szCs w:val="18"/>
        </w:rPr>
        <w:t xml:space="preserve"> </w:t>
      </w:r>
      <w:proofErr w:type="gramStart"/>
      <w:r w:rsidR="00955879">
        <w:rPr>
          <w:rFonts w:ascii="Verdana" w:hAnsi="Verdana" w:cs="FuturaMdPL-Regular"/>
          <w:sz w:val="18"/>
          <w:szCs w:val="18"/>
        </w:rPr>
        <w:t>osób</w:t>
      </w:r>
      <w:proofErr w:type="gramEnd"/>
      <w:r w:rsidR="00955879">
        <w:rPr>
          <w:rFonts w:ascii="Verdana" w:hAnsi="Verdana" w:cs="FuturaMdPL-Regular"/>
          <w:sz w:val="18"/>
          <w:szCs w:val="18"/>
        </w:rPr>
        <w:t xml:space="preserve"> które po dniu 29.04.</w:t>
      </w:r>
      <w:proofErr w:type="gramStart"/>
      <w:r w:rsidR="00955879">
        <w:rPr>
          <w:rFonts w:ascii="Verdana" w:hAnsi="Verdana" w:cs="FuturaMdPL-Regular"/>
          <w:sz w:val="18"/>
          <w:szCs w:val="18"/>
        </w:rPr>
        <w:t>2016r.</w:t>
      </w:r>
      <w:proofErr w:type="gramEnd"/>
      <w:r w:rsidR="00955879">
        <w:rPr>
          <w:rFonts w:ascii="Verdana" w:hAnsi="Verdana" w:cs="FuturaMdPL-Regular"/>
          <w:sz w:val="18"/>
          <w:szCs w:val="18"/>
        </w:rPr>
        <w:t xml:space="preserve">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xml:space="preserve">, o którym mowa w art. 28 ust. 1, </w:t>
      </w:r>
      <w:proofErr w:type="spellStart"/>
      <w:r w:rsidR="00955879">
        <w:rPr>
          <w:rFonts w:ascii="Verdana" w:hAnsi="Verdana" w:cs="FuturaMdPL-Regular"/>
          <w:sz w:val="18"/>
          <w:szCs w:val="18"/>
        </w:rPr>
        <w:t>ugnrSP</w:t>
      </w:r>
      <w:proofErr w:type="spellEnd"/>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w:t>
      </w:r>
      <w:proofErr w:type="spellStart"/>
      <w:r w:rsidR="00955879">
        <w:rPr>
          <w:rFonts w:ascii="Verdana" w:hAnsi="Verdana" w:cs="FuturaMdPL-Regular"/>
          <w:sz w:val="18"/>
          <w:szCs w:val="18"/>
        </w:rPr>
        <w:t>późn</w:t>
      </w:r>
      <w:proofErr w:type="spellEnd"/>
      <w:r w:rsidR="00955879">
        <w:rPr>
          <w:rFonts w:ascii="Verdana" w:hAnsi="Verdana" w:cs="FuturaMdPL-Regular"/>
          <w:sz w:val="18"/>
          <w:szCs w:val="18"/>
        </w:rPr>
        <w:t xml:space="preserve">.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 xml:space="preserve">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w:t>
      </w:r>
      <w:proofErr w:type="gramStart"/>
      <w:r w:rsidRPr="00DC35F2">
        <w:rPr>
          <w:rFonts w:ascii="Verdana" w:hAnsi="Verdana"/>
          <w:spacing w:val="-3"/>
          <w:sz w:val="18"/>
          <w:szCs w:val="18"/>
        </w:rPr>
        <w:t>osoba</w:t>
      </w:r>
      <w:proofErr w:type="gramEnd"/>
      <w:r w:rsidRPr="00DC35F2">
        <w:rPr>
          <w:rFonts w:ascii="Verdana" w:hAnsi="Verdana"/>
          <w:spacing w:val="-3"/>
          <w:sz w:val="18"/>
          <w:szCs w:val="18"/>
        </w:rPr>
        <w:t xml:space="preserve">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w:t>
      </w:r>
      <w:proofErr w:type="gramStart"/>
      <w:r w:rsidRPr="00AA1FD1">
        <w:rPr>
          <w:rFonts w:ascii="Verdana" w:hAnsi="Verdana"/>
          <w:spacing w:val="-3"/>
          <w:sz w:val="18"/>
          <w:szCs w:val="18"/>
        </w:rPr>
        <w:t>przypadku</w:t>
      </w:r>
      <w:proofErr w:type="gramEnd"/>
      <w:r w:rsidRPr="00AA1FD1">
        <w:rPr>
          <w:rFonts w:ascii="Verdana" w:hAnsi="Verdana"/>
          <w:spacing w:val="-3"/>
          <w:sz w:val="18"/>
          <w:szCs w:val="18"/>
        </w:rPr>
        <w:t xml:space="preserve">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proofErr w:type="gramStart"/>
      <w:r w:rsidR="0098300D">
        <w:rPr>
          <w:rFonts w:ascii="Verdana" w:hAnsi="Verdana"/>
          <w:bCs/>
          <w:spacing w:val="1"/>
          <w:sz w:val="18"/>
          <w:szCs w:val="18"/>
        </w:rPr>
        <w:t>OT  KOWR</w:t>
      </w:r>
      <w:proofErr w:type="gramEnd"/>
      <w:r w:rsidR="0098300D">
        <w:rPr>
          <w:rFonts w:ascii="Verdana" w:hAnsi="Verdana"/>
          <w:bCs/>
          <w:spacing w:val="1"/>
          <w:sz w:val="18"/>
          <w:szCs w:val="18"/>
        </w:rPr>
        <w:t xml:space="preserve">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46504724"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 xml:space="preserve">Bank BGK nie obsługuje szybkich przelewów </w:t>
      </w:r>
      <w:proofErr w:type="gramStart"/>
      <w:r w:rsidRPr="007E79C7">
        <w:rPr>
          <w:rFonts w:ascii="Verdana" w:hAnsi="Verdana"/>
          <w:sz w:val="18"/>
          <w:szCs w:val="18"/>
          <w:u w:val="single"/>
        </w:rPr>
        <w:t>online  natychmiastowych</w:t>
      </w:r>
      <w:proofErr w:type="gramEnd"/>
      <w:r w:rsidRPr="007E79C7">
        <w:rPr>
          <w:rFonts w:ascii="Verdana" w:hAnsi="Verdana"/>
          <w:sz w:val="18"/>
          <w:szCs w:val="18"/>
          <w:u w:val="single"/>
        </w:rPr>
        <w:t>/błyskawicznych/ekspresowych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proofErr w:type="spellStart"/>
      <w:r w:rsidRPr="00BB3835">
        <w:rPr>
          <w:rFonts w:ascii="Verdana" w:hAnsi="Verdana" w:cs="FuturaMdPL-Regular"/>
          <w:i/>
          <w:color w:val="000000"/>
          <w:sz w:val="18"/>
          <w:szCs w:val="18"/>
        </w:rPr>
        <w:t>gnrSP</w:t>
      </w:r>
      <w:proofErr w:type="spellEnd"/>
      <w:r w:rsidRPr="00BB3835">
        <w:rPr>
          <w:rFonts w:ascii="Verdana" w:hAnsi="Verdana" w:cs="FuturaMdPL-Regular"/>
          <w:i/>
          <w:color w:val="000000"/>
          <w:sz w:val="18"/>
          <w:szCs w:val="18"/>
        </w:rPr>
        <w:t xml:space="preserve">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w:t>
      </w:r>
      <w:proofErr w:type="gramStart"/>
      <w:r w:rsidRPr="00934192">
        <w:rPr>
          <w:rFonts w:ascii="Verdana" w:hAnsi="Verdana"/>
          <w:sz w:val="18"/>
          <w:szCs w:val="18"/>
        </w:rPr>
        <w:t>oraz,</w:t>
      </w:r>
      <w:proofErr w:type="gramEnd"/>
      <w:r w:rsidRPr="00934192">
        <w:rPr>
          <w:rFonts w:ascii="Verdana" w:hAnsi="Verdana"/>
          <w:sz w:val="18"/>
          <w:szCs w:val="18"/>
        </w:rPr>
        <w:t xml:space="preserve">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w:t>
      </w:r>
      <w:proofErr w:type="gramStart"/>
      <w:r w:rsidRPr="00934192">
        <w:rPr>
          <w:rFonts w:ascii="Verdana" w:hAnsi="Verdana"/>
          <w:sz w:val="18"/>
          <w:szCs w:val="18"/>
        </w:rPr>
        <w:t>1997r.</w:t>
      </w:r>
      <w:proofErr w:type="gramEnd"/>
      <w:r w:rsidRPr="00934192">
        <w:rPr>
          <w:rFonts w:ascii="Verdana" w:hAnsi="Verdana"/>
          <w:sz w:val="18"/>
          <w:szCs w:val="18"/>
        </w:rPr>
        <w:t xml:space="preserve">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w:t>
      </w:r>
      <w:proofErr w:type="gramStart"/>
      <w:r w:rsidRPr="00F00E2D">
        <w:rPr>
          <w:rFonts w:ascii="Verdana" w:hAnsi="Verdana"/>
          <w:sz w:val="18"/>
          <w:szCs w:val="18"/>
        </w:rPr>
        <w:t>1997r.</w:t>
      </w:r>
      <w:proofErr w:type="gramEnd"/>
      <w:r w:rsidRPr="00F00E2D">
        <w:rPr>
          <w:rFonts w:ascii="Verdana" w:hAnsi="Verdana"/>
          <w:sz w:val="18"/>
          <w:szCs w:val="18"/>
        </w:rPr>
        <w:t xml:space="preserve"> o ochronie danych osobowych (Dz. U z </w:t>
      </w:r>
      <w:proofErr w:type="gramStart"/>
      <w:r w:rsidRPr="00F00E2D">
        <w:rPr>
          <w:rFonts w:ascii="Verdana" w:hAnsi="Verdana"/>
          <w:sz w:val="18"/>
          <w:szCs w:val="18"/>
        </w:rPr>
        <w:t>2002r.</w:t>
      </w:r>
      <w:proofErr w:type="gramEnd"/>
      <w:r w:rsidRPr="00F00E2D">
        <w:rPr>
          <w:rFonts w:ascii="Verdana" w:hAnsi="Verdana"/>
          <w:sz w:val="18"/>
          <w:szCs w:val="18"/>
        </w:rPr>
        <w:t xml:space="preserve">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 xml:space="preserve">VII. Wadium nie podlega zwrotowi w </w:t>
      </w:r>
      <w:proofErr w:type="gramStart"/>
      <w:r w:rsidRPr="00532259">
        <w:rPr>
          <w:rFonts w:ascii="Verdana" w:hAnsi="Verdana"/>
          <w:b/>
          <w:color w:val="000000"/>
          <w:sz w:val="18"/>
          <w:szCs w:val="18"/>
          <w:u w:val="single"/>
        </w:rPr>
        <w:t>przypadku</w:t>
      </w:r>
      <w:proofErr w:type="gramEnd"/>
      <w:r w:rsidRPr="00532259">
        <w:rPr>
          <w:rFonts w:ascii="Verdana" w:hAnsi="Verdana"/>
          <w:b/>
          <w:color w:val="000000"/>
          <w:sz w:val="18"/>
          <w:szCs w:val="18"/>
          <w:u w:val="single"/>
        </w:rPr>
        <w:t xml:space="preserve">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 xml:space="preserve">Za datę doręczenia rozstrzygnięcia uważa się dzień jego zamieszczenia na stronie podmiotowej Biuletynu Informacji Publicznej Kranowego Ośrodka. Do obliczania </w:t>
      </w:r>
      <w:proofErr w:type="gramStart"/>
      <w:r w:rsidR="00867112" w:rsidRPr="00867112">
        <w:rPr>
          <w:rFonts w:ascii="Verdana" w:hAnsi="Verdana"/>
          <w:spacing w:val="-3"/>
          <w:sz w:val="18"/>
          <w:szCs w:val="18"/>
        </w:rPr>
        <w:t>terminów</w:t>
      </w:r>
      <w:proofErr w:type="gramEnd"/>
      <w:r w:rsidR="00867112" w:rsidRPr="00867112">
        <w:rPr>
          <w:rFonts w:ascii="Verdana" w:hAnsi="Verdana"/>
          <w:spacing w:val="-3"/>
          <w:sz w:val="18"/>
          <w:szCs w:val="18"/>
        </w:rPr>
        <w:t xml:space="preserve">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 xml:space="preserve">W przypadku wniesionych zastrzeżeń do procedury przetargowej - zgodnie z treścią art. 29 ust. 14 </w:t>
      </w:r>
      <w:proofErr w:type="spellStart"/>
      <w:r w:rsidR="00867112" w:rsidRPr="00786706">
        <w:rPr>
          <w:rFonts w:ascii="Verdana" w:hAnsi="Verdana"/>
          <w:b/>
          <w:spacing w:val="-3"/>
          <w:sz w:val="18"/>
          <w:szCs w:val="18"/>
        </w:rPr>
        <w:t>u</w:t>
      </w:r>
      <w:r w:rsidR="00867112">
        <w:rPr>
          <w:rFonts w:ascii="Verdana" w:hAnsi="Verdana"/>
          <w:b/>
          <w:spacing w:val="-3"/>
          <w:sz w:val="18"/>
          <w:szCs w:val="18"/>
        </w:rPr>
        <w:t>gnrSP</w:t>
      </w:r>
      <w:proofErr w:type="spellEnd"/>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w:t>
      </w:r>
      <w:proofErr w:type="gramStart"/>
      <w:r w:rsidRPr="00532259">
        <w:rPr>
          <w:rFonts w:ascii="Verdana" w:hAnsi="Verdana"/>
          <w:sz w:val="18"/>
          <w:szCs w:val="18"/>
        </w:rPr>
        <w:t>dniu</w:t>
      </w:r>
      <w:proofErr w:type="gramEnd"/>
      <w:r w:rsidRPr="00532259">
        <w:rPr>
          <w:rFonts w:ascii="Verdana" w:hAnsi="Verdana"/>
          <w:sz w:val="18"/>
          <w:szCs w:val="18"/>
        </w:rPr>
        <w:t xml:space="preserve">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oświadczenie o posiadanym majątku, oświadczenie o wysokości zaciągniętych zobowiązań wobec osób </w:t>
      </w:r>
      <w:proofErr w:type="gramStart"/>
      <w:r w:rsidRPr="00532259">
        <w:rPr>
          <w:rFonts w:ascii="Verdana" w:hAnsi="Verdana"/>
          <w:sz w:val="18"/>
          <w:szCs w:val="18"/>
        </w:rPr>
        <w:t>trzecich,</w:t>
      </w:r>
      <w:proofErr w:type="gramEnd"/>
      <w:r w:rsidRPr="00532259">
        <w:rPr>
          <w:rFonts w:ascii="Verdana" w:hAnsi="Verdana"/>
          <w:sz w:val="18"/>
          <w:szCs w:val="18"/>
        </w:rPr>
        <w:t xml:space="preserve"> bądź ich braku, oświadczenie o </w:t>
      </w:r>
      <w:proofErr w:type="gramStart"/>
      <w:r w:rsidRPr="00532259">
        <w:rPr>
          <w:rFonts w:ascii="Verdana" w:hAnsi="Verdana"/>
          <w:sz w:val="18"/>
          <w:szCs w:val="18"/>
        </w:rPr>
        <w:t>nie zaleganiu</w:t>
      </w:r>
      <w:proofErr w:type="gramEnd"/>
      <w:r w:rsidRPr="00532259">
        <w:rPr>
          <w:rFonts w:ascii="Verdana" w:hAnsi="Verdana"/>
          <w:sz w:val="18"/>
          <w:szCs w:val="18"/>
        </w:rPr>
        <w:t xml:space="preserve">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w:t>
      </w:r>
      <w:proofErr w:type="gramStart"/>
      <w:r w:rsidRPr="00E9741F">
        <w:rPr>
          <w:rFonts w:ascii="Verdana" w:hAnsi="Verdana"/>
          <w:sz w:val="18"/>
          <w:szCs w:val="18"/>
        </w:rPr>
        <w:t>nie posiadaniu</w:t>
      </w:r>
      <w:proofErr w:type="gramEnd"/>
      <w:r w:rsidRPr="00E9741F">
        <w:rPr>
          <w:rFonts w:ascii="Verdana" w:hAnsi="Verdana"/>
          <w:sz w:val="18"/>
          <w:szCs w:val="18"/>
        </w:rPr>
        <w:t xml:space="preserve">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Dodatkowym zabezpieczeniem płatności czynszu dzierżawnego może być co najmniej jedno z następujących zabezpieczeń: poręczenie </w:t>
      </w:r>
      <w:proofErr w:type="gramStart"/>
      <w:r w:rsidRPr="00532259">
        <w:rPr>
          <w:rFonts w:ascii="Verdana" w:hAnsi="Verdana"/>
          <w:color w:val="000000"/>
          <w:sz w:val="18"/>
          <w:szCs w:val="18"/>
        </w:rPr>
        <w:t>wekslowe,  hipoteka</w:t>
      </w:r>
      <w:proofErr w:type="gramEnd"/>
      <w:r w:rsidRPr="00532259">
        <w:rPr>
          <w:rFonts w:ascii="Verdana" w:hAnsi="Verdana"/>
          <w:color w:val="000000"/>
          <w:sz w:val="18"/>
          <w:szCs w:val="18"/>
        </w:rPr>
        <w:t>,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w:t>
      </w:r>
      <w:r w:rsidRPr="00532259">
        <w:rPr>
          <w:rFonts w:ascii="Verdana" w:hAnsi="Verdana"/>
          <w:color w:val="000000"/>
          <w:sz w:val="18"/>
          <w:szCs w:val="18"/>
        </w:rPr>
        <w:lastRenderedPageBreak/>
        <w:t xml:space="preserve">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w:t>
      </w:r>
      <w:proofErr w:type="gramStart"/>
      <w:r w:rsidRPr="00532259">
        <w:rPr>
          <w:rFonts w:ascii="Verdana" w:hAnsi="Verdana"/>
          <w:color w:val="000000"/>
          <w:sz w:val="18"/>
          <w:szCs w:val="18"/>
        </w:rPr>
        <w:t xml:space="preserve">prowadzącej </w:t>
      </w:r>
      <w:r w:rsidR="00E77DD8">
        <w:rPr>
          <w:rFonts w:ascii="Verdana" w:hAnsi="Verdana"/>
          <w:color w:val="000000"/>
          <w:sz w:val="18"/>
          <w:szCs w:val="18"/>
        </w:rPr>
        <w:t xml:space="preserve"> m.in.</w:t>
      </w:r>
      <w:proofErr w:type="gramEnd"/>
      <w:r w:rsidR="00E77DD8">
        <w:rPr>
          <w:rFonts w:ascii="Verdana" w:hAnsi="Verdana"/>
          <w:color w:val="000000"/>
          <w:sz w:val="18"/>
          <w:szCs w:val="18"/>
        </w:rPr>
        <w:t xml:space="preserve">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w:t>
      </w:r>
      <w:proofErr w:type="spellStart"/>
      <w:r w:rsidRPr="00E77DD8">
        <w:rPr>
          <w:rFonts w:ascii="Verdana" w:eastAsia="Calibri" w:hAnsi="Verdana"/>
          <w:spacing w:val="-3"/>
          <w:sz w:val="18"/>
          <w:szCs w:val="18"/>
          <w:lang w:eastAsia="en-US"/>
        </w:rPr>
        <w:t>Karolkowej</w:t>
      </w:r>
      <w:proofErr w:type="spellEnd"/>
      <w:r w:rsidRPr="00E77DD8">
        <w:rPr>
          <w:rFonts w:ascii="Verdana" w:eastAsia="Calibri" w:hAnsi="Verdana"/>
          <w:spacing w:val="-3"/>
          <w:sz w:val="18"/>
          <w:szCs w:val="18"/>
          <w:lang w:eastAsia="en-US"/>
        </w:rPr>
        <w:t xml:space="preserve"> 30. Z administratorem można się skontaktować poprzez adres e-mail: kontakt@kowr.gov.pl lub pisemnie na adres korespondencyjny: Krajowy Ośrodek Wsparcia Rolnictwa, ul. </w:t>
      </w:r>
      <w:proofErr w:type="spellStart"/>
      <w:r w:rsidRPr="00E77DD8">
        <w:rPr>
          <w:rFonts w:ascii="Verdana" w:eastAsia="Calibri" w:hAnsi="Verdana"/>
          <w:spacing w:val="-3"/>
          <w:sz w:val="18"/>
          <w:szCs w:val="18"/>
          <w:lang w:eastAsia="en-US"/>
        </w:rPr>
        <w:t>Karolkowa</w:t>
      </w:r>
      <w:proofErr w:type="spellEnd"/>
      <w:r w:rsidRPr="00E77DD8">
        <w:rPr>
          <w:rFonts w:ascii="Verdana" w:eastAsia="Calibri" w:hAnsi="Verdana"/>
          <w:spacing w:val="-3"/>
          <w:sz w:val="18"/>
          <w:szCs w:val="18"/>
          <w:lang w:eastAsia="en-US"/>
        </w:rPr>
        <w:t xml:space="preserve">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E77DD8">
        <w:rPr>
          <w:rFonts w:ascii="Verdana" w:eastAsia="Calibri" w:hAnsi="Verdana"/>
          <w:spacing w:val="-3"/>
          <w:sz w:val="18"/>
          <w:szCs w:val="18"/>
          <w:lang w:eastAsia="en-US"/>
        </w:rPr>
        <w:t>t.j</w:t>
      </w:r>
      <w:proofErr w:type="spellEnd"/>
      <w:r w:rsidRPr="00E77DD8">
        <w:rPr>
          <w:rFonts w:ascii="Verdana" w:eastAsia="Calibri" w:hAnsi="Verdana"/>
          <w:spacing w:val="-3"/>
          <w:sz w:val="18"/>
          <w:szCs w:val="18"/>
          <w:lang w:eastAsia="en-US"/>
        </w:rPr>
        <w:t xml:space="preserve">.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w:t>
      </w:r>
      <w:proofErr w:type="gramStart"/>
      <w:r w:rsidRPr="00E77DD8">
        <w:rPr>
          <w:rFonts w:ascii="Verdana" w:eastAsia="Calibri" w:hAnsi="Verdana"/>
          <w:spacing w:val="-3"/>
          <w:sz w:val="18"/>
          <w:szCs w:val="18"/>
          <w:lang w:eastAsia="en-US"/>
        </w:rPr>
        <w:t>trzecim</w:t>
      </w:r>
      <w:proofErr w:type="gramEnd"/>
      <w:r w:rsidRPr="00E77DD8">
        <w:rPr>
          <w:rFonts w:ascii="Verdana" w:eastAsia="Calibri" w:hAnsi="Verdana"/>
          <w:spacing w:val="-3"/>
          <w:sz w:val="18"/>
          <w:szCs w:val="18"/>
          <w:lang w:eastAsia="en-US"/>
        </w:rPr>
        <w:t xml:space="preserve">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65270079"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1A526E">
        <w:rPr>
          <w:rFonts w:ascii="Verdana" w:hAnsi="Verdana"/>
          <w:sz w:val="18"/>
          <w:szCs w:val="18"/>
        </w:rPr>
        <w:t>22.12</w:t>
      </w:r>
      <w:r w:rsidR="00BB3835">
        <w:rPr>
          <w:rFonts w:ascii="Verdana" w:hAnsi="Verdana"/>
          <w:sz w:val="18"/>
          <w:szCs w:val="18"/>
        </w:rPr>
        <w:t>.2025</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17B3FF1"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02.02.2026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7082142B"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 xml:space="preserve">Gminy </w:t>
      </w:r>
      <w:r w:rsidR="0002021F">
        <w:rPr>
          <w:rFonts w:ascii="Verdana" w:hAnsi="Verdana"/>
          <w:sz w:val="16"/>
          <w:szCs w:val="16"/>
        </w:rPr>
        <w:t>Psary</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4BFA" w14:textId="77777777" w:rsidR="00100AE3" w:rsidRDefault="00100AE3">
      <w:pPr>
        <w:spacing w:line="240" w:lineRule="auto"/>
      </w:pPr>
      <w:r>
        <w:separator/>
      </w:r>
    </w:p>
  </w:endnote>
  <w:endnote w:type="continuationSeparator" w:id="0">
    <w:p w14:paraId="750F7425" w14:textId="77777777" w:rsidR="00100AE3" w:rsidRDefault="00100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0433" w14:textId="77777777" w:rsidR="00100AE3" w:rsidRDefault="00100AE3">
      <w:pPr>
        <w:spacing w:line="240" w:lineRule="auto"/>
      </w:pPr>
      <w:r>
        <w:separator/>
      </w:r>
    </w:p>
  </w:footnote>
  <w:footnote w:type="continuationSeparator" w:id="0">
    <w:p w14:paraId="1A92661C" w14:textId="77777777" w:rsidR="00100AE3" w:rsidRDefault="00100A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l-PL" w:vendorID="12"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021F"/>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0AE3"/>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2F0AE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6CF"/>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40F7"/>
    <w:rsid w:val="00974EFE"/>
    <w:rsid w:val="00977E23"/>
    <w:rsid w:val="0098089D"/>
    <w:rsid w:val="009815EB"/>
    <w:rsid w:val="0098295E"/>
    <w:rsid w:val="0098300D"/>
    <w:rsid w:val="0099152A"/>
    <w:rsid w:val="00996B48"/>
    <w:rsid w:val="009A1CD8"/>
    <w:rsid w:val="009A2342"/>
    <w:rsid w:val="009A6907"/>
    <w:rsid w:val="009B0F40"/>
    <w:rsid w:val="009B2070"/>
    <w:rsid w:val="009B4BFC"/>
    <w:rsid w:val="009C03B2"/>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0230"/>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6FEA"/>
    <w:rsid w:val="00DE7EB0"/>
    <w:rsid w:val="00DF1AD4"/>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140</TotalTime>
  <Pages>8</Pages>
  <Words>5068</Words>
  <Characters>30410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12</cp:revision>
  <cp:lastPrinted>2024-06-19T06:35:00Z</cp:lastPrinted>
  <dcterms:created xsi:type="dcterms:W3CDTF">2025-10-08T11:01:00Z</dcterms:created>
  <dcterms:modified xsi:type="dcterms:W3CDTF">2025-12-19T14:10:00Z</dcterms:modified>
</cp:coreProperties>
</file>