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2054DD43"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A25D53">
        <w:rPr>
          <w:rFonts w:ascii="Verdana" w:hAnsi="Verdana" w:cs="Arial"/>
          <w:b/>
          <w:sz w:val="18"/>
          <w:szCs w:val="18"/>
        </w:rPr>
        <w:t>19</w:t>
      </w:r>
      <w:r w:rsidR="003F2906">
        <w:rPr>
          <w:rFonts w:ascii="Verdana" w:hAnsi="Verdana" w:cs="Arial"/>
          <w:b/>
          <w:sz w:val="18"/>
          <w:szCs w:val="18"/>
        </w:rPr>
        <w:t>7</w:t>
      </w:r>
      <w:r w:rsidR="00622BAC">
        <w:rPr>
          <w:rFonts w:ascii="Verdana" w:hAnsi="Verdana" w:cs="Arial"/>
          <w:b/>
          <w:sz w:val="18"/>
          <w:szCs w:val="18"/>
        </w:rPr>
        <w:t>.2025</w:t>
      </w:r>
      <w:r w:rsidR="007E0207">
        <w:rPr>
          <w:rFonts w:ascii="Verdana" w:hAnsi="Verdana" w:cs="Arial"/>
          <w:b/>
          <w:sz w:val="18"/>
          <w:szCs w:val="18"/>
        </w:rPr>
        <w:t>.KG</w:t>
      </w:r>
      <w:r w:rsidR="005748F1">
        <w:rPr>
          <w:rFonts w:ascii="Verdana" w:hAnsi="Verdana" w:cs="Arial"/>
          <w:b/>
          <w:sz w:val="18"/>
          <w:szCs w:val="18"/>
        </w:rPr>
        <w:t>.7</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6BAD890F"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3F2906">
        <w:rPr>
          <w:rFonts w:ascii="Verdana" w:hAnsi="Verdana" w:cs="FuturaMdPL-Regular"/>
          <w:b/>
          <w:smallCaps/>
          <w:color w:val="000000"/>
          <w:sz w:val="18"/>
          <w:szCs w:val="18"/>
        </w:rPr>
        <w:t>OLSZTYN</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BC1159">
        <w:rPr>
          <w:rFonts w:ascii="Verdana" w:hAnsi="Verdana" w:cs="FuturaMdPL-Regular"/>
          <w:sz w:val="20"/>
          <w:szCs w:val="18"/>
        </w:rPr>
        <w:t>częstochowski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23C8A787"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3F2906">
        <w:rPr>
          <w:rFonts w:ascii="Verdana" w:hAnsi="Verdana" w:cs="FuturaMdPL-Regular"/>
          <w:sz w:val="18"/>
          <w:szCs w:val="18"/>
        </w:rPr>
        <w:t>197</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A90DF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BC1159">
        <w:rPr>
          <w:rFonts w:ascii="Verdana" w:hAnsi="Verdana" w:cs="FuturaMdPL-Regular"/>
          <w:sz w:val="18"/>
          <w:szCs w:val="18"/>
        </w:rPr>
        <w:t xml:space="preserve">Miasta i Gminy </w:t>
      </w:r>
      <w:r w:rsidR="003F2906">
        <w:rPr>
          <w:rFonts w:ascii="Verdana" w:hAnsi="Verdana" w:cs="FuturaMdPL-Regular"/>
          <w:sz w:val="18"/>
          <w:szCs w:val="18"/>
        </w:rPr>
        <w:t>Olsztyn</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A25D53">
        <w:rPr>
          <w:rFonts w:ascii="Verdana" w:hAnsi="Verdana" w:cs="FuturaMdPL-Regular"/>
          <w:b/>
          <w:sz w:val="18"/>
          <w:szCs w:val="18"/>
        </w:rPr>
        <w:t>13.11</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2863411" w14:textId="77777777" w:rsidR="00A25D53" w:rsidRDefault="00A25D53" w:rsidP="00A25D53">
      <w:pPr>
        <w:pStyle w:val="Akapitzlist"/>
        <w:autoSpaceDE w:val="0"/>
        <w:autoSpaceDN w:val="0"/>
        <w:adjustRightInd w:val="0"/>
        <w:spacing w:line="240" w:lineRule="auto"/>
        <w:ind w:firstLine="0"/>
        <w:jc w:val="both"/>
        <w:rPr>
          <w:rFonts w:ascii="Verdana" w:hAnsi="Verdana"/>
          <w:color w:val="000000"/>
          <w:sz w:val="18"/>
          <w:szCs w:val="18"/>
        </w:rPr>
      </w:pPr>
    </w:p>
    <w:tbl>
      <w:tblPr>
        <w:tblW w:w="7220" w:type="dxa"/>
        <w:jc w:val="center"/>
        <w:tblCellMar>
          <w:left w:w="70" w:type="dxa"/>
          <w:right w:w="70" w:type="dxa"/>
        </w:tblCellMar>
        <w:tblLook w:val="04A0" w:firstRow="1" w:lastRow="0" w:firstColumn="1" w:lastColumn="0" w:noHBand="0" w:noVBand="1"/>
      </w:tblPr>
      <w:tblGrid>
        <w:gridCol w:w="699"/>
        <w:gridCol w:w="1559"/>
        <w:gridCol w:w="851"/>
        <w:gridCol w:w="1453"/>
        <w:gridCol w:w="605"/>
        <w:gridCol w:w="919"/>
        <w:gridCol w:w="1134"/>
      </w:tblGrid>
      <w:tr w:rsidR="003F2906" w:rsidRPr="003F2906" w14:paraId="1B3C229A" w14:textId="77777777" w:rsidTr="00F526F4">
        <w:trPr>
          <w:trHeight w:val="270"/>
          <w:jc w:val="center"/>
        </w:trPr>
        <w:tc>
          <w:tcPr>
            <w:tcW w:w="699"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0FEDBDF6"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Lp</w:t>
            </w:r>
          </w:p>
        </w:tc>
        <w:tc>
          <w:tcPr>
            <w:tcW w:w="1559" w:type="dxa"/>
            <w:tcBorders>
              <w:top w:val="single" w:sz="8" w:space="0" w:color="auto"/>
              <w:left w:val="nil"/>
              <w:bottom w:val="single" w:sz="8" w:space="0" w:color="auto"/>
              <w:right w:val="single" w:sz="4" w:space="0" w:color="auto"/>
            </w:tcBorders>
            <w:shd w:val="clear" w:color="000000" w:fill="C0C0C0"/>
            <w:noWrap/>
            <w:vAlign w:val="bottom"/>
            <w:hideMark/>
          </w:tcPr>
          <w:p w14:paraId="2E9D3426"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obręb</w:t>
            </w:r>
          </w:p>
        </w:tc>
        <w:tc>
          <w:tcPr>
            <w:tcW w:w="851" w:type="dxa"/>
            <w:tcBorders>
              <w:top w:val="single" w:sz="8" w:space="0" w:color="auto"/>
              <w:left w:val="nil"/>
              <w:bottom w:val="single" w:sz="8" w:space="0" w:color="auto"/>
              <w:right w:val="single" w:sz="4" w:space="0" w:color="auto"/>
            </w:tcBorders>
            <w:shd w:val="clear" w:color="000000" w:fill="C0C0C0"/>
            <w:noWrap/>
            <w:vAlign w:val="bottom"/>
            <w:hideMark/>
          </w:tcPr>
          <w:p w14:paraId="5FE66EF8"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nr dz.</w:t>
            </w:r>
          </w:p>
        </w:tc>
        <w:tc>
          <w:tcPr>
            <w:tcW w:w="1453" w:type="dxa"/>
            <w:tcBorders>
              <w:top w:val="single" w:sz="8" w:space="0" w:color="auto"/>
              <w:left w:val="nil"/>
              <w:bottom w:val="single" w:sz="8" w:space="0" w:color="auto"/>
              <w:right w:val="single" w:sz="4" w:space="0" w:color="auto"/>
            </w:tcBorders>
            <w:shd w:val="clear" w:color="000000" w:fill="C0C0C0"/>
            <w:noWrap/>
            <w:vAlign w:val="bottom"/>
            <w:hideMark/>
          </w:tcPr>
          <w:p w14:paraId="263BFFC7"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pow. ewid.</w:t>
            </w:r>
          </w:p>
        </w:tc>
        <w:tc>
          <w:tcPr>
            <w:tcW w:w="605" w:type="dxa"/>
            <w:tcBorders>
              <w:top w:val="single" w:sz="8" w:space="0" w:color="auto"/>
              <w:left w:val="nil"/>
              <w:bottom w:val="single" w:sz="8" w:space="0" w:color="auto"/>
              <w:right w:val="single" w:sz="4" w:space="0" w:color="auto"/>
            </w:tcBorders>
            <w:shd w:val="clear" w:color="000000" w:fill="C0C0C0"/>
            <w:noWrap/>
            <w:vAlign w:val="bottom"/>
            <w:hideMark/>
          </w:tcPr>
          <w:p w14:paraId="66D04D68"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udział</w:t>
            </w:r>
          </w:p>
        </w:tc>
        <w:tc>
          <w:tcPr>
            <w:tcW w:w="919" w:type="dxa"/>
            <w:tcBorders>
              <w:top w:val="single" w:sz="8" w:space="0" w:color="auto"/>
              <w:left w:val="nil"/>
              <w:bottom w:val="single" w:sz="8" w:space="0" w:color="auto"/>
              <w:right w:val="single" w:sz="4" w:space="0" w:color="auto"/>
            </w:tcBorders>
            <w:shd w:val="clear" w:color="000000" w:fill="C0C0C0"/>
            <w:noWrap/>
            <w:vAlign w:val="bottom"/>
            <w:hideMark/>
          </w:tcPr>
          <w:p w14:paraId="60367FFF"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RV</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14:paraId="25D94516"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RVI</w:t>
            </w:r>
          </w:p>
        </w:tc>
      </w:tr>
      <w:tr w:rsidR="003F2906" w:rsidRPr="003F2906" w14:paraId="5546B53E" w14:textId="77777777" w:rsidTr="00F526F4">
        <w:trPr>
          <w:trHeight w:val="270"/>
          <w:jc w:val="center"/>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6D083DF7" w14:textId="77777777" w:rsidR="003F2906" w:rsidRPr="003F2906" w:rsidRDefault="003F2906" w:rsidP="003F2906">
            <w:pPr>
              <w:spacing w:line="240" w:lineRule="auto"/>
              <w:ind w:firstLine="0"/>
              <w:jc w:val="center"/>
              <w:rPr>
                <w:rFonts w:ascii="Arial Narrow" w:hAnsi="Arial Narrow"/>
                <w:sz w:val="20"/>
              </w:rPr>
            </w:pPr>
            <w:r w:rsidRPr="003F2906">
              <w:rPr>
                <w:rFonts w:ascii="Arial Narrow" w:hAnsi="Arial Narrow"/>
                <w:sz w:val="20"/>
              </w:rPr>
              <w:t>1</w:t>
            </w:r>
          </w:p>
        </w:tc>
        <w:tc>
          <w:tcPr>
            <w:tcW w:w="1559" w:type="dxa"/>
            <w:tcBorders>
              <w:top w:val="single" w:sz="4" w:space="0" w:color="auto"/>
              <w:left w:val="nil"/>
              <w:bottom w:val="single" w:sz="4" w:space="0" w:color="auto"/>
              <w:right w:val="single" w:sz="4" w:space="0" w:color="auto"/>
            </w:tcBorders>
            <w:noWrap/>
            <w:vAlign w:val="bottom"/>
            <w:hideMark/>
          </w:tcPr>
          <w:p w14:paraId="703E2CA1" w14:textId="77777777" w:rsidR="003F2906" w:rsidRPr="003F2906" w:rsidRDefault="003F2906" w:rsidP="003F2906">
            <w:pPr>
              <w:spacing w:line="240" w:lineRule="auto"/>
              <w:ind w:firstLine="0"/>
              <w:jc w:val="center"/>
              <w:rPr>
                <w:rFonts w:ascii="Arial Narrow" w:hAnsi="Arial Narrow"/>
                <w:sz w:val="20"/>
              </w:rPr>
            </w:pPr>
            <w:r w:rsidRPr="003F2906">
              <w:rPr>
                <w:rFonts w:ascii="Arial Narrow" w:hAnsi="Arial Narrow"/>
                <w:sz w:val="20"/>
              </w:rPr>
              <w:t>Biskupice</w:t>
            </w:r>
          </w:p>
        </w:tc>
        <w:tc>
          <w:tcPr>
            <w:tcW w:w="851" w:type="dxa"/>
            <w:tcBorders>
              <w:top w:val="single" w:sz="4" w:space="0" w:color="auto"/>
              <w:left w:val="nil"/>
              <w:bottom w:val="single" w:sz="4" w:space="0" w:color="auto"/>
              <w:right w:val="single" w:sz="4" w:space="0" w:color="auto"/>
            </w:tcBorders>
            <w:noWrap/>
            <w:vAlign w:val="bottom"/>
            <w:hideMark/>
          </w:tcPr>
          <w:p w14:paraId="1C431F17" w14:textId="77777777" w:rsidR="003F2906" w:rsidRPr="003F2906" w:rsidRDefault="003F2906" w:rsidP="003F2906">
            <w:pPr>
              <w:spacing w:line="240" w:lineRule="auto"/>
              <w:ind w:firstLine="0"/>
              <w:jc w:val="center"/>
              <w:rPr>
                <w:rFonts w:ascii="Arial Narrow" w:hAnsi="Arial Narrow"/>
                <w:sz w:val="20"/>
              </w:rPr>
            </w:pPr>
            <w:r w:rsidRPr="003F2906">
              <w:rPr>
                <w:rFonts w:ascii="Arial Narrow" w:hAnsi="Arial Narrow"/>
                <w:sz w:val="20"/>
              </w:rPr>
              <w:t>733</w:t>
            </w:r>
          </w:p>
        </w:tc>
        <w:tc>
          <w:tcPr>
            <w:tcW w:w="1453" w:type="dxa"/>
            <w:tcBorders>
              <w:top w:val="nil"/>
              <w:left w:val="nil"/>
              <w:bottom w:val="single" w:sz="4" w:space="0" w:color="auto"/>
              <w:right w:val="single" w:sz="4" w:space="0" w:color="auto"/>
            </w:tcBorders>
            <w:noWrap/>
            <w:vAlign w:val="bottom"/>
            <w:hideMark/>
          </w:tcPr>
          <w:p w14:paraId="560C7FE8" w14:textId="77777777" w:rsidR="003F2906" w:rsidRPr="003F2906" w:rsidRDefault="003F2906" w:rsidP="003F2906">
            <w:pPr>
              <w:spacing w:line="240" w:lineRule="auto"/>
              <w:ind w:firstLine="0"/>
              <w:jc w:val="center"/>
              <w:rPr>
                <w:rFonts w:ascii="Arial Narrow" w:hAnsi="Arial Narrow"/>
                <w:sz w:val="20"/>
              </w:rPr>
            </w:pPr>
            <w:r w:rsidRPr="003F2906">
              <w:rPr>
                <w:rFonts w:ascii="Arial Narrow" w:hAnsi="Arial Narrow"/>
                <w:sz w:val="20"/>
              </w:rPr>
              <w:t>2,0460</w:t>
            </w:r>
          </w:p>
        </w:tc>
        <w:tc>
          <w:tcPr>
            <w:tcW w:w="605" w:type="dxa"/>
            <w:tcBorders>
              <w:top w:val="nil"/>
              <w:left w:val="nil"/>
              <w:bottom w:val="single" w:sz="4" w:space="0" w:color="auto"/>
              <w:right w:val="single" w:sz="4" w:space="0" w:color="auto"/>
            </w:tcBorders>
            <w:noWrap/>
            <w:vAlign w:val="bottom"/>
            <w:hideMark/>
          </w:tcPr>
          <w:p w14:paraId="3893DD38" w14:textId="77777777" w:rsidR="003F2906" w:rsidRPr="003F2906" w:rsidRDefault="003F2906" w:rsidP="003F2906">
            <w:pPr>
              <w:spacing w:line="240" w:lineRule="auto"/>
              <w:ind w:firstLine="0"/>
              <w:jc w:val="center"/>
              <w:rPr>
                <w:rFonts w:ascii="Arial Narrow" w:hAnsi="Arial Narrow"/>
                <w:sz w:val="20"/>
              </w:rPr>
            </w:pPr>
            <w:r w:rsidRPr="003F2906">
              <w:rPr>
                <w:rFonts w:ascii="Arial Narrow" w:hAnsi="Arial Narrow"/>
                <w:sz w:val="20"/>
              </w:rPr>
              <w:t>1/1</w:t>
            </w:r>
          </w:p>
        </w:tc>
        <w:tc>
          <w:tcPr>
            <w:tcW w:w="919" w:type="dxa"/>
            <w:tcBorders>
              <w:top w:val="nil"/>
              <w:left w:val="nil"/>
              <w:bottom w:val="single" w:sz="4" w:space="0" w:color="auto"/>
              <w:right w:val="single" w:sz="4" w:space="0" w:color="auto"/>
            </w:tcBorders>
            <w:noWrap/>
            <w:vAlign w:val="bottom"/>
            <w:hideMark/>
          </w:tcPr>
          <w:p w14:paraId="1B9A8370" w14:textId="77777777" w:rsidR="003F2906" w:rsidRPr="003F2906" w:rsidRDefault="003F2906" w:rsidP="003F2906">
            <w:pPr>
              <w:spacing w:line="240" w:lineRule="auto"/>
              <w:ind w:firstLine="0"/>
              <w:jc w:val="center"/>
              <w:rPr>
                <w:rFonts w:ascii="Arial Narrow" w:hAnsi="Arial Narrow"/>
                <w:sz w:val="20"/>
              </w:rPr>
            </w:pPr>
            <w:r w:rsidRPr="003F2906">
              <w:rPr>
                <w:rFonts w:ascii="Arial Narrow" w:hAnsi="Arial Narrow"/>
                <w:sz w:val="20"/>
              </w:rPr>
              <w:t>1,4150</w:t>
            </w:r>
          </w:p>
        </w:tc>
        <w:tc>
          <w:tcPr>
            <w:tcW w:w="1134" w:type="dxa"/>
            <w:tcBorders>
              <w:top w:val="nil"/>
              <w:left w:val="nil"/>
              <w:bottom w:val="single" w:sz="4" w:space="0" w:color="auto"/>
              <w:right w:val="single" w:sz="4" w:space="0" w:color="auto"/>
            </w:tcBorders>
            <w:noWrap/>
            <w:vAlign w:val="bottom"/>
            <w:hideMark/>
          </w:tcPr>
          <w:p w14:paraId="11B12E37" w14:textId="77777777" w:rsidR="003F2906" w:rsidRPr="003F2906" w:rsidRDefault="003F2906" w:rsidP="003F2906">
            <w:pPr>
              <w:spacing w:line="240" w:lineRule="auto"/>
              <w:ind w:firstLine="0"/>
              <w:jc w:val="center"/>
              <w:rPr>
                <w:rFonts w:ascii="Arial Narrow" w:hAnsi="Arial Narrow"/>
                <w:sz w:val="20"/>
              </w:rPr>
            </w:pPr>
            <w:r w:rsidRPr="003F2906">
              <w:rPr>
                <w:rFonts w:ascii="Arial Narrow" w:hAnsi="Arial Narrow"/>
                <w:sz w:val="20"/>
              </w:rPr>
              <w:t>0,6310</w:t>
            </w:r>
          </w:p>
        </w:tc>
      </w:tr>
      <w:tr w:rsidR="003F2906" w:rsidRPr="003F2906" w14:paraId="1236F7CF" w14:textId="77777777" w:rsidTr="00F526F4">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14A3ED62" w14:textId="77777777" w:rsidR="003F2906" w:rsidRPr="003F2906" w:rsidRDefault="003F2906" w:rsidP="003F2906">
            <w:pPr>
              <w:spacing w:line="240" w:lineRule="auto"/>
              <w:ind w:firstLine="0"/>
              <w:jc w:val="center"/>
              <w:rPr>
                <w:rFonts w:ascii="Arial Narrow" w:hAnsi="Arial Narrow"/>
                <w:sz w:val="20"/>
              </w:rPr>
            </w:pPr>
            <w:r w:rsidRPr="003F2906">
              <w:rPr>
                <w:rFonts w:ascii="Arial Narrow" w:hAnsi="Arial Narrow"/>
                <w:sz w:val="20"/>
              </w:rPr>
              <w:t> </w:t>
            </w:r>
          </w:p>
        </w:tc>
        <w:tc>
          <w:tcPr>
            <w:tcW w:w="1559" w:type="dxa"/>
            <w:tcBorders>
              <w:top w:val="nil"/>
              <w:left w:val="nil"/>
              <w:bottom w:val="single" w:sz="4" w:space="0" w:color="auto"/>
              <w:right w:val="nil"/>
            </w:tcBorders>
            <w:noWrap/>
            <w:vAlign w:val="bottom"/>
            <w:hideMark/>
          </w:tcPr>
          <w:p w14:paraId="6FD6849E" w14:textId="77777777" w:rsidR="003F2906" w:rsidRPr="003F2906" w:rsidRDefault="003F2906" w:rsidP="003F2906">
            <w:pPr>
              <w:spacing w:line="240" w:lineRule="auto"/>
              <w:ind w:firstLine="0"/>
              <w:rPr>
                <w:rFonts w:ascii="Arial Narrow" w:hAnsi="Arial Narrow"/>
                <w:sz w:val="20"/>
              </w:rPr>
            </w:pPr>
            <w:r w:rsidRPr="003F2906">
              <w:rPr>
                <w:rFonts w:ascii="Arial Narrow" w:hAnsi="Arial Narrow"/>
                <w:sz w:val="20"/>
              </w:rPr>
              <w:t>Razem</w:t>
            </w:r>
          </w:p>
        </w:tc>
        <w:tc>
          <w:tcPr>
            <w:tcW w:w="851" w:type="dxa"/>
            <w:tcBorders>
              <w:top w:val="nil"/>
              <w:left w:val="nil"/>
              <w:bottom w:val="single" w:sz="4" w:space="0" w:color="auto"/>
              <w:right w:val="single" w:sz="4" w:space="0" w:color="auto"/>
            </w:tcBorders>
            <w:noWrap/>
            <w:vAlign w:val="bottom"/>
            <w:hideMark/>
          </w:tcPr>
          <w:p w14:paraId="13AA8E33" w14:textId="77777777" w:rsidR="003F2906" w:rsidRPr="003F2906" w:rsidRDefault="003F2906" w:rsidP="003F2906">
            <w:pPr>
              <w:spacing w:line="240" w:lineRule="auto"/>
              <w:ind w:firstLine="0"/>
              <w:rPr>
                <w:rFonts w:ascii="Arial Narrow" w:hAnsi="Arial Narrow"/>
                <w:sz w:val="20"/>
              </w:rPr>
            </w:pPr>
            <w:r w:rsidRPr="003F2906">
              <w:rPr>
                <w:rFonts w:ascii="Arial Narrow" w:hAnsi="Arial Narrow"/>
                <w:sz w:val="20"/>
              </w:rPr>
              <w:t> </w:t>
            </w:r>
          </w:p>
        </w:tc>
        <w:tc>
          <w:tcPr>
            <w:tcW w:w="1453" w:type="dxa"/>
            <w:tcBorders>
              <w:top w:val="single" w:sz="8" w:space="0" w:color="auto"/>
              <w:left w:val="nil"/>
              <w:bottom w:val="single" w:sz="8" w:space="0" w:color="auto"/>
              <w:right w:val="single" w:sz="4" w:space="0" w:color="auto"/>
            </w:tcBorders>
            <w:noWrap/>
            <w:vAlign w:val="bottom"/>
            <w:hideMark/>
          </w:tcPr>
          <w:p w14:paraId="111DE41E"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2,0460</w:t>
            </w:r>
          </w:p>
        </w:tc>
        <w:tc>
          <w:tcPr>
            <w:tcW w:w="605" w:type="dxa"/>
            <w:tcBorders>
              <w:top w:val="single" w:sz="8" w:space="0" w:color="auto"/>
              <w:left w:val="nil"/>
              <w:bottom w:val="single" w:sz="8" w:space="0" w:color="auto"/>
              <w:right w:val="single" w:sz="4" w:space="0" w:color="auto"/>
            </w:tcBorders>
            <w:noWrap/>
            <w:vAlign w:val="bottom"/>
            <w:hideMark/>
          </w:tcPr>
          <w:p w14:paraId="42C4FF1B"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 </w:t>
            </w:r>
          </w:p>
        </w:tc>
        <w:tc>
          <w:tcPr>
            <w:tcW w:w="919" w:type="dxa"/>
            <w:tcBorders>
              <w:top w:val="single" w:sz="8" w:space="0" w:color="auto"/>
              <w:left w:val="nil"/>
              <w:bottom w:val="single" w:sz="8" w:space="0" w:color="auto"/>
              <w:right w:val="single" w:sz="4" w:space="0" w:color="auto"/>
            </w:tcBorders>
            <w:noWrap/>
            <w:vAlign w:val="bottom"/>
            <w:hideMark/>
          </w:tcPr>
          <w:p w14:paraId="1A7B8F18"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1,4150</w:t>
            </w:r>
          </w:p>
        </w:tc>
        <w:tc>
          <w:tcPr>
            <w:tcW w:w="1134" w:type="dxa"/>
            <w:tcBorders>
              <w:top w:val="single" w:sz="8" w:space="0" w:color="auto"/>
              <w:left w:val="nil"/>
              <w:bottom w:val="single" w:sz="8" w:space="0" w:color="auto"/>
              <w:right w:val="single" w:sz="4" w:space="0" w:color="auto"/>
            </w:tcBorders>
            <w:noWrap/>
            <w:vAlign w:val="bottom"/>
            <w:hideMark/>
          </w:tcPr>
          <w:p w14:paraId="112D4EDC" w14:textId="77777777" w:rsidR="003F2906" w:rsidRPr="003F2906" w:rsidRDefault="003F2906" w:rsidP="003F2906">
            <w:pPr>
              <w:spacing w:line="240" w:lineRule="auto"/>
              <w:ind w:firstLine="0"/>
              <w:jc w:val="center"/>
              <w:rPr>
                <w:rFonts w:ascii="Arial Narrow" w:hAnsi="Arial Narrow"/>
                <w:b/>
                <w:bCs/>
                <w:sz w:val="20"/>
              </w:rPr>
            </w:pPr>
            <w:r w:rsidRPr="003F2906">
              <w:rPr>
                <w:rFonts w:ascii="Arial Narrow" w:hAnsi="Arial Narrow"/>
                <w:b/>
                <w:bCs/>
                <w:sz w:val="20"/>
              </w:rPr>
              <w:t>0,6310</w:t>
            </w:r>
          </w:p>
        </w:tc>
      </w:tr>
    </w:tbl>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p w14:paraId="30A9C947" w14:textId="77777777" w:rsidR="008A046E" w:rsidRDefault="008A046E" w:rsidP="008A046E">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Częstochowie </w:t>
      </w:r>
      <w:r>
        <w:rPr>
          <w:rFonts w:ascii="Verdana" w:hAnsi="Verdana"/>
          <w:color w:val="000000"/>
          <w:sz w:val="18"/>
          <w:szCs w:val="18"/>
          <w:lang w:eastAsia="ar-SA"/>
        </w:rPr>
        <w:t xml:space="preserve">prowadzi księgę wieczystą nr </w:t>
      </w:r>
      <w:r>
        <w:rPr>
          <w:rFonts w:ascii="Verdana" w:hAnsi="Verdana"/>
          <w:b/>
          <w:color w:val="000000"/>
          <w:sz w:val="18"/>
          <w:szCs w:val="18"/>
          <w:lang w:eastAsia="ar-SA"/>
        </w:rPr>
        <w:t>CZ1C</w:t>
      </w:r>
      <w:r w:rsidRPr="00305411">
        <w:rPr>
          <w:rFonts w:ascii="Verdana" w:hAnsi="Verdana"/>
          <w:b/>
          <w:color w:val="000000"/>
          <w:sz w:val="18"/>
          <w:szCs w:val="18"/>
          <w:lang w:eastAsia="ar-SA"/>
        </w:rPr>
        <w:t>/</w:t>
      </w:r>
      <w:r>
        <w:rPr>
          <w:rFonts w:ascii="Verdana" w:hAnsi="Verdana"/>
          <w:b/>
          <w:color w:val="000000"/>
          <w:sz w:val="18"/>
          <w:szCs w:val="18"/>
          <w:lang w:eastAsia="ar-SA"/>
        </w:rPr>
        <w:t>00150106</w:t>
      </w:r>
      <w:r w:rsidRPr="00305411">
        <w:rPr>
          <w:rFonts w:ascii="Verdana" w:hAnsi="Verdana"/>
          <w:b/>
          <w:color w:val="000000"/>
          <w:sz w:val="18"/>
          <w:szCs w:val="18"/>
          <w:lang w:eastAsia="ar-SA"/>
        </w:rPr>
        <w:t>/</w:t>
      </w:r>
      <w:r>
        <w:rPr>
          <w:rFonts w:ascii="Verdana" w:hAnsi="Verdana"/>
          <w:b/>
          <w:color w:val="000000"/>
          <w:sz w:val="18"/>
          <w:szCs w:val="18"/>
          <w:lang w:eastAsia="ar-SA"/>
        </w:rPr>
        <w:t>1.</w:t>
      </w:r>
    </w:p>
    <w:p w14:paraId="5CFB12A8" w14:textId="77777777" w:rsidR="00A25D53" w:rsidRDefault="00A25D53" w:rsidP="00583EBB">
      <w:pPr>
        <w:ind w:firstLine="0"/>
        <w:jc w:val="both"/>
        <w:rPr>
          <w:rFonts w:ascii="Verdana" w:hAnsi="Verdana"/>
          <w:sz w:val="18"/>
          <w:szCs w:val="18"/>
        </w:rPr>
      </w:pPr>
    </w:p>
    <w:p w14:paraId="7F632DFF" w14:textId="298135D6" w:rsidR="00583EBB" w:rsidRDefault="00583EBB" w:rsidP="00583EBB">
      <w:pPr>
        <w:ind w:firstLine="0"/>
        <w:jc w:val="both"/>
        <w:rPr>
          <w:rFonts w:ascii="Verdana" w:hAnsi="Verdana"/>
          <w:sz w:val="18"/>
          <w:szCs w:val="18"/>
        </w:rPr>
      </w:pPr>
      <w:r>
        <w:rPr>
          <w:rFonts w:ascii="Verdana" w:hAnsi="Verdana"/>
          <w:sz w:val="18"/>
          <w:szCs w:val="18"/>
        </w:rPr>
        <w:t>Informacja o obciążeniach i zobowiązaniach – brak</w:t>
      </w:r>
    </w:p>
    <w:p w14:paraId="6FFA67B5" w14:textId="77777777" w:rsidR="00583EBB" w:rsidRDefault="00583EBB" w:rsidP="00583EBB">
      <w:pPr>
        <w:ind w:firstLine="0"/>
        <w:jc w:val="both"/>
        <w:rPr>
          <w:rFonts w:ascii="Verdana" w:hAnsi="Verdana"/>
          <w:sz w:val="18"/>
          <w:szCs w:val="18"/>
        </w:rPr>
      </w:pPr>
    </w:p>
    <w:p w14:paraId="48E650A9" w14:textId="77777777" w:rsidR="008A046E" w:rsidRDefault="008A046E" w:rsidP="00583EBB">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2,0460</w:t>
      </w:r>
      <w:r w:rsidRPr="001F3382">
        <w:rPr>
          <w:rFonts w:ascii="Verdana" w:hAnsi="Verdana"/>
          <w:b/>
          <w:sz w:val="18"/>
          <w:szCs w:val="18"/>
        </w:rPr>
        <w:t xml:space="preserve"> ha,</w:t>
      </w:r>
      <w:r w:rsidRPr="001F3382">
        <w:rPr>
          <w:rFonts w:ascii="Verdana" w:hAnsi="Verdana"/>
          <w:sz w:val="18"/>
          <w:szCs w:val="18"/>
        </w:rPr>
        <w:t xml:space="preserve"> w tym : </w:t>
      </w:r>
    </w:p>
    <w:p w14:paraId="22988C30" w14:textId="4AE0D025" w:rsidR="00A25D53" w:rsidRDefault="00583EBB" w:rsidP="00583EBB">
      <w:pPr>
        <w:ind w:firstLine="0"/>
        <w:jc w:val="both"/>
        <w:rPr>
          <w:rFonts w:ascii="Verdana" w:hAnsi="Verdana"/>
          <w:sz w:val="18"/>
          <w:szCs w:val="18"/>
        </w:rPr>
      </w:pPr>
      <w:r>
        <w:rPr>
          <w:rFonts w:ascii="Verdana" w:hAnsi="Verdana"/>
          <w:sz w:val="18"/>
          <w:szCs w:val="18"/>
        </w:rPr>
        <w:t xml:space="preserve">- </w:t>
      </w:r>
      <w:r w:rsidR="00A25D53">
        <w:rPr>
          <w:rFonts w:ascii="Verdana" w:hAnsi="Verdana"/>
          <w:sz w:val="18"/>
          <w:szCs w:val="18"/>
        </w:rPr>
        <w:t>grunty orne</w:t>
      </w:r>
      <w:r>
        <w:rPr>
          <w:rFonts w:ascii="Verdana" w:hAnsi="Verdana"/>
          <w:sz w:val="18"/>
          <w:szCs w:val="18"/>
        </w:rPr>
        <w:t xml:space="preserve">:   </w:t>
      </w:r>
      <w:r w:rsidR="00A25D53">
        <w:rPr>
          <w:rFonts w:ascii="Verdana" w:hAnsi="Verdana"/>
          <w:sz w:val="18"/>
          <w:szCs w:val="18"/>
        </w:rPr>
        <w:t xml:space="preserve">   </w:t>
      </w:r>
      <w:r w:rsidR="008A046E">
        <w:rPr>
          <w:rFonts w:ascii="Verdana" w:hAnsi="Verdana"/>
          <w:sz w:val="18"/>
          <w:szCs w:val="18"/>
        </w:rPr>
        <w:t>2,0460</w:t>
      </w:r>
      <w:r>
        <w:rPr>
          <w:rFonts w:ascii="Verdana" w:hAnsi="Verdana"/>
          <w:sz w:val="18"/>
          <w:szCs w:val="18"/>
        </w:rPr>
        <w:t xml:space="preserve"> ha</w:t>
      </w:r>
    </w:p>
    <w:p w14:paraId="66E9A085" w14:textId="5ED410CF" w:rsidR="00583EBB" w:rsidRDefault="00583EBB" w:rsidP="00583EBB">
      <w:pPr>
        <w:ind w:firstLine="0"/>
        <w:jc w:val="both"/>
        <w:rPr>
          <w:rFonts w:ascii="Verdana" w:hAnsi="Verdana"/>
          <w:sz w:val="18"/>
          <w:szCs w:val="18"/>
        </w:rPr>
      </w:pPr>
      <w:r>
        <w:rPr>
          <w:rFonts w:ascii="Verdana" w:hAnsi="Verdana"/>
          <w:sz w:val="18"/>
          <w:szCs w:val="18"/>
        </w:rPr>
        <w:tab/>
        <w:t xml:space="preserve">            </w:t>
      </w:r>
    </w:p>
    <w:p w14:paraId="2BBFF68B" w14:textId="34CA72AA" w:rsidR="00583EBB" w:rsidRDefault="00583EBB" w:rsidP="00583EBB">
      <w:pPr>
        <w:pStyle w:val="Akapitzlist"/>
        <w:numPr>
          <w:ilvl w:val="0"/>
          <w:numId w:val="33"/>
        </w:numPr>
        <w:spacing w:line="240" w:lineRule="auto"/>
        <w:jc w:val="both"/>
        <w:rPr>
          <w:rFonts w:ascii="Verdana" w:hAnsi="Verdana"/>
          <w:sz w:val="18"/>
          <w:szCs w:val="18"/>
          <w:lang w:eastAsia="ar-SA"/>
        </w:rPr>
      </w:pPr>
      <w:r w:rsidRPr="00583EBB">
        <w:rPr>
          <w:rFonts w:ascii="Verdana" w:hAnsi="Verdana"/>
          <w:sz w:val="18"/>
          <w:szCs w:val="18"/>
        </w:rPr>
        <w:t xml:space="preserve">inne ważne informacje o nieruchomości- </w:t>
      </w:r>
      <w:r w:rsidRPr="00583EBB">
        <w:rPr>
          <w:rFonts w:ascii="Verdana" w:hAnsi="Verdana"/>
          <w:sz w:val="18"/>
          <w:szCs w:val="18"/>
          <w:lang w:eastAsia="ar-SA"/>
        </w:rPr>
        <w:t>brak</w:t>
      </w:r>
    </w:p>
    <w:p w14:paraId="328428FE" w14:textId="77777777" w:rsidR="00583EBB" w:rsidRPr="00583EBB" w:rsidRDefault="00583EBB" w:rsidP="00583EBB">
      <w:pPr>
        <w:pStyle w:val="Akapitzlist"/>
        <w:spacing w:line="240" w:lineRule="auto"/>
        <w:ind w:firstLine="0"/>
        <w:jc w:val="both"/>
        <w:rPr>
          <w:rFonts w:ascii="Verdana" w:hAnsi="Verdana"/>
          <w:sz w:val="18"/>
          <w:szCs w:val="18"/>
          <w:lang w:eastAsia="ar-SA"/>
        </w:rPr>
      </w:pPr>
    </w:p>
    <w:p w14:paraId="1BCF9731" w14:textId="77777777" w:rsidR="008A046E" w:rsidRDefault="008A046E" w:rsidP="008A046E">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Olsztyn działka nr 733 położona jest w części na terenie tereny rolnicze, bez prawa lokalizacji zabudowy- symbol 3R. We fragmencie przeznaczona jest pod teren zabudowy mieszkaniowej jednorodzinnej – symbol 2MN.</w:t>
      </w:r>
    </w:p>
    <w:p w14:paraId="713A0144" w14:textId="77777777" w:rsidR="00B61994" w:rsidRDefault="00B61994" w:rsidP="00D74E97">
      <w:pPr>
        <w:spacing w:line="276" w:lineRule="auto"/>
        <w:ind w:firstLine="0"/>
        <w:rPr>
          <w:rFonts w:ascii="Verdana" w:hAnsi="Verdana"/>
          <w:sz w:val="18"/>
          <w:szCs w:val="18"/>
        </w:rPr>
      </w:pPr>
    </w:p>
    <w:p w14:paraId="594F7D7F" w14:textId="3A6F2532"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8A046E">
        <w:rPr>
          <w:rFonts w:ascii="Verdana" w:hAnsi="Verdana"/>
          <w:b/>
          <w:sz w:val="18"/>
          <w:szCs w:val="18"/>
        </w:rPr>
        <w:t>2,5</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4EB1353B"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A25D53">
        <w:rPr>
          <w:rFonts w:ascii="Verdana" w:hAnsi="Verdana"/>
          <w:b/>
          <w:sz w:val="18"/>
          <w:szCs w:val="18"/>
        </w:rPr>
        <w:t>1,</w:t>
      </w:r>
      <w:r w:rsidRPr="00E65AF4">
        <w:rPr>
          <w:rFonts w:ascii="Verdana" w:hAnsi="Verdana"/>
          <w:b/>
          <w:sz w:val="18"/>
          <w:szCs w:val="18"/>
        </w:rPr>
        <w:t>0 dt</w:t>
      </w:r>
    </w:p>
    <w:p w14:paraId="42EAA9FA" w14:textId="05F780A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25D53">
        <w:rPr>
          <w:rFonts w:ascii="Verdana" w:hAnsi="Verdana"/>
          <w:b/>
          <w:sz w:val="18"/>
          <w:szCs w:val="18"/>
        </w:rPr>
        <w:t>850</w:t>
      </w:r>
      <w:r w:rsidRPr="00E8366C">
        <w:rPr>
          <w:rFonts w:ascii="Verdana" w:hAnsi="Verdana"/>
          <w:b/>
          <w:sz w:val="18"/>
          <w:szCs w:val="18"/>
        </w:rPr>
        <w:t>,00 zł</w:t>
      </w:r>
    </w:p>
    <w:p w14:paraId="04BB3EFB" w14:textId="201B3DA8" w:rsidR="000B35D1"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8A046E">
        <w:rPr>
          <w:rFonts w:ascii="Verdana" w:hAnsi="Verdana"/>
          <w:b/>
          <w:spacing w:val="-3"/>
          <w:sz w:val="18"/>
          <w:szCs w:val="18"/>
          <w:u w:val="single"/>
        </w:rPr>
        <w:t>28</w:t>
      </w:r>
      <w:r w:rsidRPr="00984F1B">
        <w:rPr>
          <w:rFonts w:ascii="Verdana" w:hAnsi="Verdana"/>
          <w:b/>
          <w:spacing w:val="-3"/>
          <w:sz w:val="18"/>
          <w:szCs w:val="18"/>
          <w:u w:val="single"/>
        </w:rPr>
        <w:t xml:space="preserve"> roku </w:t>
      </w:r>
      <w:r w:rsidR="00583EBB">
        <w:rPr>
          <w:rFonts w:ascii="Verdana" w:hAnsi="Verdana"/>
          <w:b/>
          <w:spacing w:val="-3"/>
          <w:sz w:val="18"/>
          <w:szCs w:val="18"/>
          <w:u w:val="single"/>
        </w:rPr>
        <w:t xml:space="preserve">                                                                                                                                                                       </w:t>
      </w:r>
    </w:p>
    <w:p w14:paraId="390D2137" w14:textId="77777777" w:rsidR="000B35D1" w:rsidRDefault="000B35D1"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4EFE2D9B" w14:textId="3AE033F4" w:rsidR="00AB0525" w:rsidRPr="007F2402"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75A301DC" w14:textId="77777777" w:rsidR="00C52403" w:rsidRPr="0077054D" w:rsidRDefault="00C52403" w:rsidP="0077054D">
      <w:pPr>
        <w:autoSpaceDE w:val="0"/>
        <w:autoSpaceDN w:val="0"/>
        <w:adjustRightInd w:val="0"/>
        <w:spacing w:before="120" w:line="240" w:lineRule="auto"/>
        <w:ind w:firstLine="0"/>
        <w:jc w:val="both"/>
        <w:rPr>
          <w:rFonts w:ascii="Verdana" w:hAnsi="Verdana" w:cs="FuturaMdPL-Regular"/>
          <w:sz w:val="18"/>
          <w:szCs w:val="18"/>
        </w:rPr>
      </w:pPr>
    </w:p>
    <w:p w14:paraId="0F4CBC3E" w14:textId="77777777" w:rsidR="00A25D53" w:rsidRDefault="00A25D53" w:rsidP="00F705E6">
      <w:pPr>
        <w:autoSpaceDE w:val="0"/>
        <w:autoSpaceDN w:val="0"/>
        <w:adjustRightInd w:val="0"/>
        <w:ind w:firstLine="0"/>
        <w:jc w:val="both"/>
        <w:rPr>
          <w:rFonts w:ascii="Verdana" w:hAnsi="Verdana" w:cs="FuturaMdPL-Regular"/>
          <w:b/>
          <w:color w:val="000000"/>
          <w:sz w:val="18"/>
          <w:szCs w:val="18"/>
          <w:u w:val="single"/>
        </w:rPr>
      </w:pPr>
    </w:p>
    <w:p w14:paraId="0068BD68" w14:textId="030FC6DD"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6DBF18AD"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10.03.2026</w:t>
      </w:r>
      <w:r>
        <w:rPr>
          <w:rFonts w:ascii="Verdana" w:hAnsi="Verdana"/>
          <w:b/>
          <w:sz w:val="20"/>
          <w:lang w:eastAsia="ar-SA"/>
        </w:rPr>
        <w:t xml:space="preserve"> r. o godz. </w:t>
      </w:r>
      <w:r w:rsidR="00A25D53">
        <w:rPr>
          <w:rFonts w:ascii="Verdana" w:hAnsi="Verdana"/>
          <w:b/>
          <w:sz w:val="20"/>
          <w:lang w:eastAsia="ar-SA"/>
        </w:rPr>
        <w:t>11:</w:t>
      </w:r>
      <w:r w:rsidR="008A046E">
        <w:rPr>
          <w:rFonts w:ascii="Verdana" w:hAnsi="Verdana"/>
          <w:b/>
          <w:sz w:val="20"/>
          <w:lang w:eastAsia="ar-SA"/>
        </w:rPr>
        <w:t>3</w:t>
      </w:r>
      <w:r w:rsidR="00A25D53">
        <w:rPr>
          <w:rFonts w:ascii="Verdana" w:hAnsi="Verdana"/>
          <w:b/>
          <w:sz w:val="20"/>
          <w:lang w:eastAsia="ar-SA"/>
        </w:rPr>
        <w:t>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2F61575" w14:textId="77777777" w:rsidR="00867112" w:rsidRDefault="00867112" w:rsidP="00867112">
      <w:pPr>
        <w:spacing w:line="240" w:lineRule="auto"/>
        <w:jc w:val="both"/>
        <w:rPr>
          <w:rFonts w:ascii="Verdana" w:hAnsi="Verdana"/>
          <w:color w:val="000000"/>
          <w:sz w:val="18"/>
          <w:szCs w:val="18"/>
        </w:rPr>
      </w:pPr>
    </w:p>
    <w:p w14:paraId="01BFBF4C" w14:textId="77777777" w:rsidR="000B35D1" w:rsidRDefault="000B35D1" w:rsidP="00867112">
      <w:pPr>
        <w:spacing w:line="240" w:lineRule="auto"/>
        <w:jc w:val="both"/>
        <w:rPr>
          <w:rFonts w:ascii="Verdana" w:hAnsi="Verdana"/>
          <w:color w:val="000000"/>
          <w:sz w:val="18"/>
          <w:szCs w:val="18"/>
        </w:rPr>
      </w:pPr>
    </w:p>
    <w:p w14:paraId="765494F7" w14:textId="77777777" w:rsidR="000B35D1" w:rsidRPr="00B61994" w:rsidRDefault="000B35D1"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publicznoprawnym, ryzyko związane ze spłatą czynszu dzierżawnego, cechy danego zabezpieczenia, wynikające z dotyczących go przepisów prawnych oraz umowy o ustanowienie </w:t>
      </w:r>
      <w:r w:rsidRPr="00532259">
        <w:rPr>
          <w:rFonts w:ascii="Verdana" w:hAnsi="Verdana"/>
          <w:sz w:val="18"/>
          <w:szCs w:val="18"/>
        </w:rPr>
        <w:lastRenderedPageBreak/>
        <w:t>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448D8308"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F526F4">
        <w:rPr>
          <w:rFonts w:ascii="Verdana" w:hAnsi="Verdana"/>
          <w:sz w:val="18"/>
          <w:szCs w:val="18"/>
          <w:lang w:eastAsia="ar-SA"/>
        </w:rPr>
        <w:t>34 383 91 53</w:t>
      </w:r>
      <w:r w:rsidR="00F526F4"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w:t>
      </w:r>
      <w:r w:rsidRPr="00E77DD8">
        <w:rPr>
          <w:rFonts w:ascii="Verdana" w:eastAsia="Calibri" w:hAnsi="Verdana"/>
          <w:spacing w:val="-3"/>
          <w:sz w:val="18"/>
          <w:szCs w:val="18"/>
          <w:lang w:eastAsia="en-US"/>
        </w:rPr>
        <w:lastRenderedPageBreak/>
        <w:t>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553B28D9"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10.03.2026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747FE9DB"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 xml:space="preserve">Urzędu Miasta i Gminy </w:t>
      </w:r>
      <w:r w:rsidR="008A046E">
        <w:rPr>
          <w:rFonts w:ascii="Verdana" w:hAnsi="Verdana"/>
          <w:sz w:val="16"/>
          <w:szCs w:val="16"/>
        </w:rPr>
        <w:t>Olsztyn</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082B2C00"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F526F4">
        <w:rPr>
          <w:rFonts w:ascii="Verdana" w:hAnsi="Verdana"/>
          <w:sz w:val="16"/>
          <w:szCs w:val="16"/>
          <w:lang w:eastAsia="ar-SA"/>
        </w:rPr>
        <w:t>podmiotowej w</w:t>
      </w:r>
      <w:r w:rsidRPr="0054135E">
        <w:rPr>
          <w:rFonts w:ascii="Verdana" w:hAnsi="Verdana"/>
          <w:sz w:val="16"/>
          <w:szCs w:val="16"/>
          <w:lang w:eastAsia="ar-SA"/>
        </w:rPr>
        <w:t xml:space="preserve"> </w:t>
      </w:r>
      <w:hyperlink r:id="rId9" w:history="1">
        <w:r w:rsidR="00F05CFD">
          <w:rPr>
            <w:rFonts w:ascii="Verdana" w:hAnsi="Verdana"/>
            <w:sz w:val="16"/>
            <w:szCs w:val="16"/>
            <w:lang w:eastAsia="ar-SA"/>
          </w:rPr>
          <w:t>Biuletynie</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16F7"/>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2897"/>
    <w:rsid w:val="003F2906"/>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3AFE"/>
    <w:rsid w:val="005269AB"/>
    <w:rsid w:val="00532259"/>
    <w:rsid w:val="00535EF2"/>
    <w:rsid w:val="00537ACD"/>
    <w:rsid w:val="0054135E"/>
    <w:rsid w:val="005445E8"/>
    <w:rsid w:val="00546F4B"/>
    <w:rsid w:val="005472DE"/>
    <w:rsid w:val="0054736B"/>
    <w:rsid w:val="005505D8"/>
    <w:rsid w:val="005509E7"/>
    <w:rsid w:val="0056096C"/>
    <w:rsid w:val="0056447F"/>
    <w:rsid w:val="005748F1"/>
    <w:rsid w:val="00580047"/>
    <w:rsid w:val="00583EBB"/>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046E"/>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25D53"/>
    <w:rsid w:val="00A36508"/>
    <w:rsid w:val="00A3708A"/>
    <w:rsid w:val="00A40523"/>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05CFD"/>
    <w:rsid w:val="00F13389"/>
    <w:rsid w:val="00F14884"/>
    <w:rsid w:val="00F1620C"/>
    <w:rsid w:val="00F1650D"/>
    <w:rsid w:val="00F1688D"/>
    <w:rsid w:val="00F25878"/>
    <w:rsid w:val="00F27C7F"/>
    <w:rsid w:val="00F347C5"/>
    <w:rsid w:val="00F36118"/>
    <w:rsid w:val="00F526F4"/>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TotalTime>
  <Pages>8</Pages>
  <Words>4642</Words>
  <Characters>29965</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5</cp:revision>
  <cp:lastPrinted>2024-06-19T06:35:00Z</cp:lastPrinted>
  <dcterms:created xsi:type="dcterms:W3CDTF">2026-01-26T07:55:00Z</dcterms:created>
  <dcterms:modified xsi:type="dcterms:W3CDTF">2026-01-26T11:00:00Z</dcterms:modified>
</cp:coreProperties>
</file>