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366E5B1C"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2F0AEB">
        <w:rPr>
          <w:rFonts w:ascii="Verdana" w:hAnsi="Verdana" w:cs="Arial"/>
          <w:b/>
          <w:sz w:val="18"/>
          <w:szCs w:val="18"/>
        </w:rPr>
        <w:t>236</w:t>
      </w:r>
      <w:r w:rsidR="00622BAC">
        <w:rPr>
          <w:rFonts w:ascii="Verdana" w:hAnsi="Verdana" w:cs="Arial"/>
          <w:b/>
          <w:sz w:val="18"/>
          <w:szCs w:val="18"/>
        </w:rPr>
        <w:t>.2025</w:t>
      </w:r>
      <w:r w:rsidR="007E0207">
        <w:rPr>
          <w:rFonts w:ascii="Verdana" w:hAnsi="Verdana" w:cs="Arial"/>
          <w:b/>
          <w:sz w:val="18"/>
          <w:szCs w:val="18"/>
        </w:rPr>
        <w:t>.</w:t>
      </w:r>
      <w:r w:rsidR="007069AA">
        <w:rPr>
          <w:rFonts w:ascii="Verdana" w:hAnsi="Verdana" w:cs="Arial"/>
          <w:b/>
          <w:sz w:val="18"/>
          <w:szCs w:val="18"/>
        </w:rPr>
        <w:t>AT.</w:t>
      </w:r>
      <w:r w:rsidR="002F711B">
        <w:rPr>
          <w:rFonts w:ascii="Verdana" w:hAnsi="Verdana" w:cs="Arial"/>
          <w:b/>
          <w:sz w:val="18"/>
          <w:szCs w:val="18"/>
        </w:rPr>
        <w:t>32</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1DE74402"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2F0AEB">
        <w:rPr>
          <w:rFonts w:ascii="Verdana" w:hAnsi="Verdana" w:cs="FuturaMdPL-Regular"/>
          <w:b/>
          <w:smallCaps/>
          <w:color w:val="000000"/>
          <w:sz w:val="20"/>
        </w:rPr>
        <w:t>Bobrowniki</w:t>
      </w:r>
      <w:r w:rsidRPr="007069AA">
        <w:rPr>
          <w:rFonts w:ascii="Verdana" w:hAnsi="Verdana" w:cs="FuturaMdPL-Regular"/>
          <w:b/>
          <w:sz w:val="20"/>
        </w:rPr>
        <w:t>,</w:t>
      </w:r>
      <w:r w:rsidR="004C306D" w:rsidRPr="007069AA">
        <w:rPr>
          <w:rFonts w:ascii="Verdana" w:hAnsi="Verdana" w:cs="FuturaMdPL-Regular"/>
          <w:sz w:val="20"/>
        </w:rPr>
        <w:t xml:space="preserve"> powiat </w:t>
      </w:r>
      <w:r w:rsidR="002F0AEB">
        <w:rPr>
          <w:rFonts w:ascii="Verdana" w:hAnsi="Verdana" w:cs="FuturaMdPL-Regular"/>
          <w:sz w:val="20"/>
        </w:rPr>
        <w:t>będziński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5F220FAA"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2F0AEB">
        <w:rPr>
          <w:rFonts w:ascii="Verdana" w:hAnsi="Verdana" w:cs="FuturaMdPL-Regular"/>
          <w:sz w:val="18"/>
          <w:szCs w:val="18"/>
        </w:rPr>
        <w:t>236</w:t>
      </w:r>
      <w:r w:rsidR="00C201F4">
        <w:rPr>
          <w:rFonts w:ascii="Verdana" w:hAnsi="Verdana" w:cs="FuturaMdPL-Regular"/>
          <w:sz w:val="18"/>
          <w:szCs w:val="18"/>
        </w:rPr>
        <w:t>.2025</w:t>
      </w:r>
      <w:r w:rsidR="007E0207">
        <w:rPr>
          <w:rFonts w:ascii="Verdana" w:hAnsi="Verdana" w:cs="FuturaMdPL-Regular"/>
          <w:sz w:val="18"/>
          <w:szCs w:val="18"/>
        </w:rPr>
        <w:t>.</w:t>
      </w:r>
      <w:r w:rsidR="007069AA">
        <w:rPr>
          <w:rFonts w:ascii="Verdana" w:hAnsi="Verdana" w:cs="FuturaMdPL-Regular"/>
          <w:sz w:val="18"/>
          <w:szCs w:val="18"/>
        </w:rPr>
        <w:t>AT.</w:t>
      </w:r>
      <w:r w:rsidR="00BF4EE3">
        <w:rPr>
          <w:rFonts w:ascii="Verdana" w:hAnsi="Verdana" w:cs="FuturaMdPL-Regular"/>
          <w:sz w:val="18"/>
          <w:szCs w:val="18"/>
        </w:rPr>
        <w:t>1</w:t>
      </w:r>
      <w:r w:rsidRPr="00532259">
        <w:rPr>
          <w:rFonts w:ascii="Verdana" w:hAnsi="Verdana" w:cs="FuturaMdPL-Regular"/>
          <w:sz w:val="18"/>
          <w:szCs w:val="18"/>
        </w:rPr>
        <w:t xml:space="preserve">) przeznaczonej do dzierżawy podany został do publicznej wiadomości poprzez wywieszenie na tablicy ogłoszeń w Urzędzie </w:t>
      </w:r>
      <w:r w:rsidR="007E0207">
        <w:rPr>
          <w:rFonts w:ascii="Verdana" w:hAnsi="Verdana" w:cs="FuturaMdPL-Regular"/>
          <w:sz w:val="18"/>
          <w:szCs w:val="18"/>
        </w:rPr>
        <w:t xml:space="preserve">Gminy </w:t>
      </w:r>
      <w:r w:rsidR="002F0AEB">
        <w:rPr>
          <w:rFonts w:ascii="Verdana" w:hAnsi="Verdana" w:cs="FuturaMdPL-Regular"/>
          <w:sz w:val="18"/>
          <w:szCs w:val="18"/>
        </w:rPr>
        <w:t>Bobrowniki</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2F711B">
        <w:rPr>
          <w:rFonts w:ascii="Verdana" w:hAnsi="Verdana" w:cs="FuturaMdPL-Regular"/>
          <w:b/>
          <w:sz w:val="18"/>
          <w:szCs w:val="18"/>
        </w:rPr>
        <w:t>0</w:t>
      </w:r>
      <w:r w:rsidR="004A6CAB">
        <w:rPr>
          <w:rFonts w:ascii="Verdana" w:hAnsi="Verdana" w:cs="FuturaMdPL-Regular"/>
          <w:b/>
          <w:sz w:val="18"/>
          <w:szCs w:val="18"/>
        </w:rPr>
        <w:t>4</w:t>
      </w:r>
      <w:r w:rsidR="001A526E">
        <w:rPr>
          <w:rFonts w:ascii="Verdana" w:hAnsi="Verdana" w:cs="FuturaMdPL-Regular"/>
          <w:b/>
          <w:sz w:val="18"/>
          <w:szCs w:val="18"/>
        </w:rPr>
        <w:t>.</w:t>
      </w:r>
      <w:r w:rsidR="002F0AEB">
        <w:rPr>
          <w:rFonts w:ascii="Verdana" w:hAnsi="Verdana" w:cs="FuturaMdPL-Regular"/>
          <w:b/>
          <w:sz w:val="18"/>
          <w:szCs w:val="18"/>
        </w:rPr>
        <w:t>12.</w:t>
      </w:r>
      <w:r w:rsidR="001A526E">
        <w:rPr>
          <w:rFonts w:ascii="Verdana" w:hAnsi="Verdana" w:cs="FuturaMdPL-Regular"/>
          <w:b/>
          <w:sz w:val="18"/>
          <w:szCs w:val="18"/>
        </w:rPr>
        <w:t>2025</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(t.j.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1790EBD1" w14:textId="77777777" w:rsidR="00C67D70" w:rsidRDefault="00C67D70" w:rsidP="00C67D70">
      <w:pPr>
        <w:pStyle w:val="Akapitzlist"/>
        <w:autoSpaceDE w:val="0"/>
        <w:autoSpaceDN w:val="0"/>
        <w:adjustRightInd w:val="0"/>
        <w:spacing w:line="240" w:lineRule="auto"/>
        <w:ind w:firstLine="0"/>
        <w:jc w:val="both"/>
        <w:rPr>
          <w:rFonts w:ascii="Verdana" w:hAnsi="Verdana"/>
          <w:color w:val="000000"/>
          <w:sz w:val="18"/>
          <w:szCs w:val="18"/>
        </w:rPr>
      </w:pPr>
    </w:p>
    <w:p w14:paraId="21A59C46" w14:textId="77777777" w:rsidR="006C09CE" w:rsidRDefault="006C09CE" w:rsidP="00D74E97">
      <w:pPr>
        <w:spacing w:line="276" w:lineRule="auto"/>
        <w:ind w:firstLine="0"/>
        <w:rPr>
          <w:rFonts w:ascii="Verdana" w:hAnsi="Verdana"/>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366"/>
        <w:gridCol w:w="1081"/>
        <w:gridCol w:w="523"/>
        <w:gridCol w:w="709"/>
        <w:gridCol w:w="992"/>
        <w:gridCol w:w="709"/>
        <w:gridCol w:w="1275"/>
      </w:tblGrid>
      <w:tr w:rsidR="002F0AEB" w14:paraId="7B13BDCD" w14:textId="77777777" w:rsidTr="002F0AEB">
        <w:trPr>
          <w:trHeight w:val="267"/>
          <w:jc w:val="center"/>
        </w:trPr>
        <w:tc>
          <w:tcPr>
            <w:tcW w:w="366" w:type="dxa"/>
            <w:tcBorders>
              <w:top w:val="single" w:sz="12" w:space="0" w:color="auto"/>
              <w:left w:val="single" w:sz="12" w:space="0" w:color="auto"/>
              <w:bottom w:val="single" w:sz="12" w:space="0" w:color="auto"/>
              <w:right w:val="single" w:sz="6" w:space="0" w:color="auto"/>
            </w:tcBorders>
            <w:shd w:val="solid" w:color="C0C0C0" w:fill="auto"/>
          </w:tcPr>
          <w:p w14:paraId="3ECD28C3"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Lp</w:t>
            </w:r>
          </w:p>
        </w:tc>
        <w:tc>
          <w:tcPr>
            <w:tcW w:w="1081" w:type="dxa"/>
            <w:tcBorders>
              <w:top w:val="single" w:sz="12" w:space="0" w:color="auto"/>
              <w:left w:val="single" w:sz="6" w:space="0" w:color="auto"/>
              <w:bottom w:val="single" w:sz="12" w:space="0" w:color="auto"/>
              <w:right w:val="single" w:sz="6" w:space="0" w:color="auto"/>
            </w:tcBorders>
            <w:shd w:val="solid" w:color="C0C0C0" w:fill="auto"/>
          </w:tcPr>
          <w:p w14:paraId="5FA1888B"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obręb</w:t>
            </w:r>
          </w:p>
        </w:tc>
        <w:tc>
          <w:tcPr>
            <w:tcW w:w="523" w:type="dxa"/>
            <w:tcBorders>
              <w:top w:val="single" w:sz="12" w:space="0" w:color="auto"/>
              <w:left w:val="single" w:sz="6" w:space="0" w:color="auto"/>
              <w:bottom w:val="single" w:sz="12" w:space="0" w:color="auto"/>
              <w:right w:val="single" w:sz="6" w:space="0" w:color="auto"/>
            </w:tcBorders>
            <w:shd w:val="solid" w:color="C0C0C0" w:fill="auto"/>
          </w:tcPr>
          <w:p w14:paraId="5300362E"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k.m</w:t>
            </w:r>
          </w:p>
        </w:tc>
        <w:tc>
          <w:tcPr>
            <w:tcW w:w="709" w:type="dxa"/>
            <w:tcBorders>
              <w:top w:val="single" w:sz="12" w:space="0" w:color="auto"/>
              <w:left w:val="single" w:sz="6" w:space="0" w:color="auto"/>
              <w:bottom w:val="single" w:sz="12" w:space="0" w:color="auto"/>
              <w:right w:val="single" w:sz="6" w:space="0" w:color="auto"/>
            </w:tcBorders>
            <w:shd w:val="solid" w:color="C0C0C0" w:fill="auto"/>
          </w:tcPr>
          <w:p w14:paraId="4A2B5BF3"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nr dz.</w:t>
            </w:r>
          </w:p>
        </w:tc>
        <w:tc>
          <w:tcPr>
            <w:tcW w:w="992" w:type="dxa"/>
            <w:tcBorders>
              <w:top w:val="single" w:sz="12" w:space="0" w:color="auto"/>
              <w:left w:val="single" w:sz="6" w:space="0" w:color="auto"/>
              <w:bottom w:val="single" w:sz="12" w:space="0" w:color="auto"/>
              <w:right w:val="single" w:sz="6" w:space="0" w:color="auto"/>
            </w:tcBorders>
            <w:shd w:val="solid" w:color="C0C0C0" w:fill="auto"/>
          </w:tcPr>
          <w:p w14:paraId="7C735FED"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pow. ewid.</w:t>
            </w:r>
          </w:p>
        </w:tc>
        <w:tc>
          <w:tcPr>
            <w:tcW w:w="709" w:type="dxa"/>
            <w:tcBorders>
              <w:top w:val="single" w:sz="12" w:space="0" w:color="auto"/>
              <w:left w:val="single" w:sz="6" w:space="0" w:color="auto"/>
              <w:bottom w:val="single" w:sz="12" w:space="0" w:color="auto"/>
              <w:right w:val="single" w:sz="6" w:space="0" w:color="auto"/>
            </w:tcBorders>
            <w:shd w:val="solid" w:color="C0C0C0" w:fill="auto"/>
          </w:tcPr>
          <w:p w14:paraId="71340174"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udział</w:t>
            </w:r>
          </w:p>
        </w:tc>
        <w:tc>
          <w:tcPr>
            <w:tcW w:w="1275" w:type="dxa"/>
            <w:tcBorders>
              <w:top w:val="single" w:sz="12" w:space="0" w:color="auto"/>
              <w:left w:val="single" w:sz="6" w:space="0" w:color="auto"/>
              <w:bottom w:val="single" w:sz="12" w:space="0" w:color="auto"/>
              <w:right w:val="single" w:sz="6" w:space="0" w:color="auto"/>
            </w:tcBorders>
            <w:shd w:val="solid" w:color="C0C0C0" w:fill="auto"/>
          </w:tcPr>
          <w:p w14:paraId="7328B0CE"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RV</w:t>
            </w:r>
          </w:p>
        </w:tc>
      </w:tr>
      <w:tr w:rsidR="002F0AEB" w14:paraId="1F58614B" w14:textId="77777777" w:rsidTr="002F0AEB">
        <w:trPr>
          <w:trHeight w:val="267"/>
          <w:jc w:val="center"/>
        </w:trPr>
        <w:tc>
          <w:tcPr>
            <w:tcW w:w="366" w:type="dxa"/>
            <w:tcBorders>
              <w:top w:val="single" w:sz="6" w:space="0" w:color="auto"/>
              <w:left w:val="single" w:sz="6" w:space="0" w:color="auto"/>
              <w:bottom w:val="single" w:sz="6" w:space="0" w:color="auto"/>
              <w:right w:val="single" w:sz="6" w:space="0" w:color="auto"/>
            </w:tcBorders>
          </w:tcPr>
          <w:p w14:paraId="3F656220"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w:t>
            </w:r>
          </w:p>
        </w:tc>
        <w:tc>
          <w:tcPr>
            <w:tcW w:w="1081" w:type="dxa"/>
            <w:tcBorders>
              <w:top w:val="single" w:sz="6" w:space="0" w:color="auto"/>
              <w:left w:val="single" w:sz="6" w:space="0" w:color="auto"/>
              <w:bottom w:val="single" w:sz="6" w:space="0" w:color="auto"/>
              <w:right w:val="single" w:sz="6" w:space="0" w:color="auto"/>
            </w:tcBorders>
          </w:tcPr>
          <w:p w14:paraId="2F723AD2"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Rogoźnik</w:t>
            </w:r>
          </w:p>
        </w:tc>
        <w:tc>
          <w:tcPr>
            <w:tcW w:w="523" w:type="dxa"/>
            <w:tcBorders>
              <w:top w:val="single" w:sz="6" w:space="0" w:color="auto"/>
              <w:left w:val="single" w:sz="6" w:space="0" w:color="auto"/>
              <w:bottom w:val="single" w:sz="6" w:space="0" w:color="auto"/>
              <w:right w:val="single" w:sz="6" w:space="0" w:color="auto"/>
            </w:tcBorders>
          </w:tcPr>
          <w:p w14:paraId="4C4751EC"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6</w:t>
            </w:r>
          </w:p>
        </w:tc>
        <w:tc>
          <w:tcPr>
            <w:tcW w:w="709" w:type="dxa"/>
            <w:tcBorders>
              <w:top w:val="single" w:sz="6" w:space="0" w:color="auto"/>
              <w:left w:val="single" w:sz="6" w:space="0" w:color="auto"/>
              <w:bottom w:val="single" w:sz="6" w:space="0" w:color="auto"/>
              <w:right w:val="single" w:sz="6" w:space="0" w:color="auto"/>
            </w:tcBorders>
          </w:tcPr>
          <w:p w14:paraId="671E9716"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1472/1</w:t>
            </w:r>
          </w:p>
        </w:tc>
        <w:tc>
          <w:tcPr>
            <w:tcW w:w="992" w:type="dxa"/>
            <w:tcBorders>
              <w:top w:val="nil"/>
              <w:left w:val="single" w:sz="6" w:space="0" w:color="auto"/>
              <w:bottom w:val="single" w:sz="6" w:space="0" w:color="auto"/>
              <w:right w:val="single" w:sz="6" w:space="0" w:color="auto"/>
            </w:tcBorders>
          </w:tcPr>
          <w:p w14:paraId="1B97045B"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2,0748</w:t>
            </w:r>
          </w:p>
        </w:tc>
        <w:tc>
          <w:tcPr>
            <w:tcW w:w="709" w:type="dxa"/>
            <w:tcBorders>
              <w:top w:val="nil"/>
              <w:left w:val="single" w:sz="6" w:space="0" w:color="auto"/>
              <w:bottom w:val="single" w:sz="6" w:space="0" w:color="auto"/>
              <w:right w:val="single" w:sz="6" w:space="0" w:color="auto"/>
            </w:tcBorders>
          </w:tcPr>
          <w:p w14:paraId="0B8ED6FA"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1/1</w:t>
            </w:r>
          </w:p>
        </w:tc>
        <w:tc>
          <w:tcPr>
            <w:tcW w:w="1275" w:type="dxa"/>
            <w:tcBorders>
              <w:top w:val="single" w:sz="6" w:space="0" w:color="auto"/>
              <w:left w:val="single" w:sz="6" w:space="0" w:color="auto"/>
              <w:bottom w:val="single" w:sz="6" w:space="0" w:color="auto"/>
              <w:right w:val="single" w:sz="6" w:space="0" w:color="auto"/>
            </w:tcBorders>
          </w:tcPr>
          <w:p w14:paraId="01D9E5FA"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r>
              <w:rPr>
                <w:rFonts w:ascii="Arial Narrow" w:hAnsi="Arial Narrow" w:cs="Arial Narrow"/>
                <w:color w:val="000000"/>
                <w:sz w:val="20"/>
              </w:rPr>
              <w:t>2,0748</w:t>
            </w:r>
          </w:p>
        </w:tc>
      </w:tr>
      <w:tr w:rsidR="002F0AEB" w14:paraId="59FA8E8A" w14:textId="77777777" w:rsidTr="002F0AEB">
        <w:trPr>
          <w:trHeight w:val="267"/>
          <w:jc w:val="center"/>
        </w:trPr>
        <w:tc>
          <w:tcPr>
            <w:tcW w:w="366" w:type="dxa"/>
            <w:tcBorders>
              <w:top w:val="single" w:sz="6" w:space="0" w:color="auto"/>
              <w:left w:val="single" w:sz="6" w:space="0" w:color="auto"/>
              <w:bottom w:val="single" w:sz="6" w:space="0" w:color="auto"/>
              <w:right w:val="single" w:sz="6" w:space="0" w:color="auto"/>
            </w:tcBorders>
          </w:tcPr>
          <w:p w14:paraId="1C9939F1" w14:textId="77777777" w:rsidR="002F0AEB" w:rsidRDefault="002F0AEB">
            <w:pPr>
              <w:autoSpaceDE w:val="0"/>
              <w:autoSpaceDN w:val="0"/>
              <w:adjustRightInd w:val="0"/>
              <w:spacing w:line="240" w:lineRule="auto"/>
              <w:ind w:firstLine="0"/>
              <w:jc w:val="center"/>
              <w:rPr>
                <w:rFonts w:ascii="Arial Narrow" w:hAnsi="Arial Narrow" w:cs="Arial Narrow"/>
                <w:color w:val="000000"/>
                <w:sz w:val="20"/>
              </w:rPr>
            </w:pPr>
          </w:p>
        </w:tc>
        <w:tc>
          <w:tcPr>
            <w:tcW w:w="1081" w:type="dxa"/>
            <w:tcBorders>
              <w:top w:val="single" w:sz="6" w:space="0" w:color="auto"/>
              <w:left w:val="single" w:sz="6" w:space="0" w:color="auto"/>
              <w:bottom w:val="single" w:sz="6" w:space="0" w:color="auto"/>
              <w:right w:val="nil"/>
            </w:tcBorders>
          </w:tcPr>
          <w:p w14:paraId="3D5085CD" w14:textId="77777777" w:rsidR="002F0AEB" w:rsidRDefault="002F0AEB">
            <w:pPr>
              <w:autoSpaceDE w:val="0"/>
              <w:autoSpaceDN w:val="0"/>
              <w:adjustRightInd w:val="0"/>
              <w:spacing w:line="240" w:lineRule="auto"/>
              <w:ind w:firstLine="0"/>
              <w:rPr>
                <w:rFonts w:ascii="Arial Narrow" w:hAnsi="Arial Narrow" w:cs="Arial Narrow"/>
                <w:color w:val="000000"/>
                <w:sz w:val="20"/>
              </w:rPr>
            </w:pPr>
            <w:r>
              <w:rPr>
                <w:rFonts w:ascii="Arial Narrow" w:hAnsi="Arial Narrow" w:cs="Arial Narrow"/>
                <w:color w:val="000000"/>
                <w:sz w:val="20"/>
              </w:rPr>
              <w:t>Razem</w:t>
            </w:r>
          </w:p>
        </w:tc>
        <w:tc>
          <w:tcPr>
            <w:tcW w:w="523" w:type="dxa"/>
            <w:tcBorders>
              <w:top w:val="single" w:sz="6" w:space="0" w:color="auto"/>
              <w:left w:val="nil"/>
              <w:bottom w:val="single" w:sz="6" w:space="0" w:color="auto"/>
              <w:right w:val="nil"/>
            </w:tcBorders>
          </w:tcPr>
          <w:p w14:paraId="5529EC9A" w14:textId="77777777" w:rsidR="002F0AEB" w:rsidRDefault="002F0AEB">
            <w:pPr>
              <w:autoSpaceDE w:val="0"/>
              <w:autoSpaceDN w:val="0"/>
              <w:adjustRightInd w:val="0"/>
              <w:spacing w:line="240" w:lineRule="auto"/>
              <w:ind w:firstLine="0"/>
              <w:jc w:val="right"/>
              <w:rPr>
                <w:rFonts w:ascii="Arial Narrow" w:hAnsi="Arial Narrow" w:cs="Arial Narrow"/>
                <w:color w:val="000000"/>
                <w:sz w:val="20"/>
              </w:rPr>
            </w:pPr>
          </w:p>
        </w:tc>
        <w:tc>
          <w:tcPr>
            <w:tcW w:w="709" w:type="dxa"/>
            <w:tcBorders>
              <w:top w:val="single" w:sz="6" w:space="0" w:color="auto"/>
              <w:left w:val="nil"/>
              <w:bottom w:val="single" w:sz="6" w:space="0" w:color="auto"/>
              <w:right w:val="single" w:sz="6" w:space="0" w:color="auto"/>
            </w:tcBorders>
          </w:tcPr>
          <w:p w14:paraId="4466B5B3" w14:textId="77777777" w:rsidR="002F0AEB" w:rsidRDefault="002F0AEB">
            <w:pPr>
              <w:autoSpaceDE w:val="0"/>
              <w:autoSpaceDN w:val="0"/>
              <w:adjustRightInd w:val="0"/>
              <w:spacing w:line="240" w:lineRule="auto"/>
              <w:ind w:firstLine="0"/>
              <w:jc w:val="right"/>
              <w:rPr>
                <w:rFonts w:ascii="Arial Narrow" w:hAnsi="Arial Narrow" w:cs="Arial Narrow"/>
                <w:color w:val="000000"/>
                <w:sz w:val="20"/>
              </w:rPr>
            </w:pPr>
          </w:p>
        </w:tc>
        <w:tc>
          <w:tcPr>
            <w:tcW w:w="992" w:type="dxa"/>
            <w:tcBorders>
              <w:top w:val="single" w:sz="12" w:space="0" w:color="auto"/>
              <w:left w:val="nil"/>
              <w:bottom w:val="single" w:sz="12" w:space="0" w:color="auto"/>
              <w:right w:val="single" w:sz="6" w:space="0" w:color="auto"/>
            </w:tcBorders>
          </w:tcPr>
          <w:p w14:paraId="33556121"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2,0748</w:t>
            </w:r>
          </w:p>
        </w:tc>
        <w:tc>
          <w:tcPr>
            <w:tcW w:w="709" w:type="dxa"/>
            <w:tcBorders>
              <w:top w:val="single" w:sz="12" w:space="0" w:color="auto"/>
              <w:left w:val="nil"/>
              <w:bottom w:val="single" w:sz="12" w:space="0" w:color="auto"/>
              <w:right w:val="single" w:sz="6" w:space="0" w:color="auto"/>
            </w:tcBorders>
          </w:tcPr>
          <w:p w14:paraId="6D7C054E"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p>
        </w:tc>
        <w:tc>
          <w:tcPr>
            <w:tcW w:w="1275" w:type="dxa"/>
            <w:tcBorders>
              <w:top w:val="single" w:sz="12" w:space="0" w:color="auto"/>
              <w:left w:val="single" w:sz="6" w:space="0" w:color="auto"/>
              <w:bottom w:val="single" w:sz="12" w:space="0" w:color="auto"/>
              <w:right w:val="single" w:sz="6" w:space="0" w:color="auto"/>
            </w:tcBorders>
          </w:tcPr>
          <w:p w14:paraId="49E464C4" w14:textId="77777777" w:rsidR="002F0AEB" w:rsidRDefault="002F0AEB">
            <w:pPr>
              <w:autoSpaceDE w:val="0"/>
              <w:autoSpaceDN w:val="0"/>
              <w:adjustRightInd w:val="0"/>
              <w:spacing w:line="240" w:lineRule="auto"/>
              <w:ind w:firstLine="0"/>
              <w:jc w:val="center"/>
              <w:rPr>
                <w:rFonts w:ascii="Arial Narrow" w:hAnsi="Arial Narrow" w:cs="Arial Narrow"/>
                <w:b/>
                <w:bCs/>
                <w:color w:val="000000"/>
                <w:sz w:val="20"/>
              </w:rPr>
            </w:pPr>
            <w:r>
              <w:rPr>
                <w:rFonts w:ascii="Arial Narrow" w:hAnsi="Arial Narrow" w:cs="Arial Narrow"/>
                <w:b/>
                <w:bCs/>
                <w:color w:val="000000"/>
                <w:sz w:val="20"/>
              </w:rPr>
              <w:t>2,0748</w:t>
            </w:r>
          </w:p>
        </w:tc>
      </w:tr>
    </w:tbl>
    <w:p w14:paraId="7A0BBE20" w14:textId="77777777" w:rsidR="006C09CE" w:rsidRDefault="006C09CE" w:rsidP="00D74E97">
      <w:pPr>
        <w:spacing w:line="276" w:lineRule="auto"/>
        <w:ind w:firstLine="0"/>
        <w:rPr>
          <w:rFonts w:ascii="Verdana" w:hAnsi="Verdana"/>
          <w:sz w:val="18"/>
          <w:szCs w:val="18"/>
        </w:rPr>
      </w:pPr>
    </w:p>
    <w:p w14:paraId="5ED2E3B3" w14:textId="77777777" w:rsidR="002F0AEB" w:rsidRPr="0073208B" w:rsidRDefault="002F0AEB" w:rsidP="002F0AEB">
      <w:pPr>
        <w:spacing w:line="276" w:lineRule="auto"/>
        <w:ind w:firstLine="0"/>
        <w:jc w:val="both"/>
        <w:rPr>
          <w:rFonts w:ascii="Verdana" w:hAnsi="Verdana"/>
          <w:sz w:val="18"/>
          <w:szCs w:val="18"/>
        </w:rPr>
      </w:pPr>
      <w:r>
        <w:rPr>
          <w:rFonts w:ascii="Verdana" w:hAnsi="Verdana"/>
          <w:color w:val="000000"/>
          <w:sz w:val="18"/>
          <w:szCs w:val="18"/>
          <w:lang w:eastAsia="ar-SA"/>
        </w:rPr>
        <w:t xml:space="preserve">dla działki </w:t>
      </w:r>
      <w:r>
        <w:rPr>
          <w:rFonts w:ascii="Verdana" w:hAnsi="Verdana"/>
          <w:sz w:val="18"/>
          <w:szCs w:val="18"/>
        </w:rPr>
        <w:t xml:space="preserve">Wydział Ksiąg Wieczystych Sądu Rejonowego w Czeladzi </w:t>
      </w:r>
      <w:r>
        <w:rPr>
          <w:rFonts w:ascii="Verdana" w:hAnsi="Verdana"/>
          <w:color w:val="000000"/>
          <w:sz w:val="18"/>
          <w:szCs w:val="18"/>
          <w:lang w:eastAsia="ar-SA"/>
        </w:rPr>
        <w:t xml:space="preserve">prowadzi księgę wieczystą o numerze KA1B/00059170/3. </w:t>
      </w:r>
      <w:r>
        <w:rPr>
          <w:rFonts w:ascii="Verdana" w:hAnsi="Verdana"/>
          <w:sz w:val="18"/>
          <w:szCs w:val="18"/>
        </w:rPr>
        <w:t>Informacja o obciążeniach i zobowiązaniach: w Dziale III KW ograniczone prawo rzeczowe tj. odpłatna i nieograniczona w czasie służebność przesyłu na rzecz Tauron Dystrybucja S.A.</w:t>
      </w:r>
    </w:p>
    <w:p w14:paraId="5B763579" w14:textId="77777777" w:rsidR="002F0AEB" w:rsidRPr="00C537A8" w:rsidRDefault="002F0AEB" w:rsidP="002F0AEB">
      <w:pPr>
        <w:jc w:val="both"/>
        <w:rPr>
          <w:rFonts w:ascii="Verdana" w:hAnsi="Verdana"/>
          <w:sz w:val="18"/>
          <w:szCs w:val="18"/>
        </w:rPr>
      </w:pPr>
    </w:p>
    <w:p w14:paraId="60EE4EED" w14:textId="77777777" w:rsidR="002F0AEB" w:rsidRPr="00E661C8" w:rsidRDefault="002F0AEB" w:rsidP="002F0AEB">
      <w:pPr>
        <w:ind w:firstLine="0"/>
        <w:jc w:val="both"/>
        <w:rPr>
          <w:rFonts w:ascii="Verdana" w:hAnsi="Verdana"/>
          <w:sz w:val="18"/>
          <w:szCs w:val="18"/>
        </w:rPr>
      </w:pPr>
      <w:r w:rsidRPr="00E661C8">
        <w:rPr>
          <w:rFonts w:ascii="Verdana" w:hAnsi="Verdana"/>
          <w:b/>
          <w:sz w:val="18"/>
          <w:szCs w:val="18"/>
        </w:rPr>
        <w:t xml:space="preserve">Ogólna powierzchnia nieruchomości wynosi </w:t>
      </w:r>
      <w:r>
        <w:rPr>
          <w:rFonts w:ascii="Verdana" w:hAnsi="Verdana"/>
          <w:b/>
          <w:sz w:val="18"/>
          <w:szCs w:val="18"/>
        </w:rPr>
        <w:t xml:space="preserve">2,0748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14:paraId="3156D07C" w14:textId="77777777" w:rsidR="002F0AEB" w:rsidRDefault="002F0AEB" w:rsidP="002F0AEB">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grunty orne: 2,0748 ha</w:t>
      </w:r>
    </w:p>
    <w:p w14:paraId="6A88FE95" w14:textId="77777777" w:rsidR="002F0AEB" w:rsidRDefault="002F0AEB" w:rsidP="002F0AEB">
      <w:pPr>
        <w:jc w:val="both"/>
        <w:rPr>
          <w:rFonts w:ascii="Verdana" w:hAnsi="Verdana"/>
          <w:sz w:val="18"/>
          <w:szCs w:val="18"/>
        </w:rPr>
      </w:pPr>
    </w:p>
    <w:p w14:paraId="249B9CA8" w14:textId="5C4059B9" w:rsidR="002F0AEB" w:rsidRPr="002F0AEB" w:rsidRDefault="002F0AEB" w:rsidP="002F0AEB">
      <w:pPr>
        <w:pStyle w:val="Akapitzlist"/>
        <w:numPr>
          <w:ilvl w:val="0"/>
          <w:numId w:val="33"/>
        </w:numPr>
        <w:spacing w:line="240" w:lineRule="auto"/>
        <w:jc w:val="both"/>
        <w:rPr>
          <w:rFonts w:ascii="Verdana" w:hAnsi="Verdana"/>
          <w:sz w:val="18"/>
          <w:szCs w:val="18"/>
        </w:rPr>
      </w:pPr>
      <w:r w:rsidRPr="002F0AEB">
        <w:rPr>
          <w:rFonts w:ascii="Verdana" w:hAnsi="Verdana"/>
          <w:sz w:val="18"/>
          <w:szCs w:val="18"/>
        </w:rPr>
        <w:t xml:space="preserve">Inne ważne informacje o nieruchomości: brak. </w:t>
      </w:r>
    </w:p>
    <w:p w14:paraId="00D59C8C" w14:textId="77777777" w:rsidR="002F0AEB" w:rsidRPr="00A16B26" w:rsidRDefault="002F0AEB" w:rsidP="002F0AEB">
      <w:pPr>
        <w:ind w:left="284"/>
        <w:jc w:val="both"/>
        <w:rPr>
          <w:rFonts w:ascii="Verdana" w:hAnsi="Verdana"/>
          <w:sz w:val="18"/>
          <w:szCs w:val="18"/>
        </w:rPr>
      </w:pPr>
    </w:p>
    <w:p w14:paraId="1DE34D3A" w14:textId="77777777" w:rsidR="002F0AEB" w:rsidRDefault="002F0AEB" w:rsidP="002F0AEB">
      <w:pPr>
        <w:spacing w:after="60"/>
        <w:ind w:firstLine="0"/>
        <w:jc w:val="both"/>
        <w:rPr>
          <w:rFonts w:ascii="Verdana" w:hAnsi="Verdana"/>
          <w:sz w:val="18"/>
          <w:szCs w:val="18"/>
        </w:rPr>
      </w:pPr>
      <w:r>
        <w:rPr>
          <w:rFonts w:ascii="Verdana" w:hAnsi="Verdana"/>
          <w:sz w:val="18"/>
          <w:szCs w:val="18"/>
        </w:rPr>
        <w:t xml:space="preserve">W miejscowym planie zagospodarowania przestrzennego Gminy Bobrowniki działka położona jest na terenie rolniczym z dopuszczeniem zalesień.  </w:t>
      </w:r>
    </w:p>
    <w:p w14:paraId="11C21CAD" w14:textId="77777777" w:rsidR="002F0AEB" w:rsidRDefault="002F0AEB" w:rsidP="00D74E97">
      <w:pPr>
        <w:spacing w:line="276" w:lineRule="auto"/>
        <w:ind w:firstLine="0"/>
        <w:rPr>
          <w:rFonts w:ascii="Verdana" w:hAnsi="Verdana"/>
          <w:sz w:val="18"/>
          <w:szCs w:val="18"/>
        </w:rPr>
      </w:pPr>
    </w:p>
    <w:p w14:paraId="676B20B7" w14:textId="06FD9DB7"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2F0AEB">
        <w:rPr>
          <w:rFonts w:ascii="Verdana" w:hAnsi="Verdana"/>
          <w:b/>
          <w:sz w:val="18"/>
          <w:szCs w:val="18"/>
        </w:rPr>
        <w:t>3,6</w:t>
      </w:r>
      <w:r w:rsidRPr="00984F1B">
        <w:rPr>
          <w:rFonts w:ascii="Verdana" w:hAnsi="Verdana"/>
          <w:b/>
          <w:sz w:val="18"/>
          <w:szCs w:val="18"/>
        </w:rPr>
        <w:t xml:space="preserve"> dt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215875BC" w14:textId="77777777"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54D04">
        <w:rPr>
          <w:rFonts w:ascii="Verdana" w:hAnsi="Verdana"/>
          <w:b/>
          <w:sz w:val="18"/>
          <w:szCs w:val="18"/>
        </w:rPr>
        <w:t>1 0</w:t>
      </w:r>
      <w:r w:rsidR="0080667B">
        <w:rPr>
          <w:rFonts w:ascii="Verdana" w:hAnsi="Verdana"/>
          <w:b/>
          <w:sz w:val="18"/>
          <w:szCs w:val="18"/>
        </w:rPr>
        <w:t>00</w:t>
      </w:r>
      <w:r w:rsidRPr="00E8366C">
        <w:rPr>
          <w:rFonts w:ascii="Verdana" w:hAnsi="Verdana"/>
          <w:b/>
          <w:sz w:val="18"/>
          <w:szCs w:val="18"/>
        </w:rPr>
        <w:t>,00 zł</w:t>
      </w:r>
    </w:p>
    <w:p w14:paraId="59A96185" w14:textId="21C5FBBE"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w:t>
      </w:r>
      <w:r w:rsidR="008C7D98">
        <w:rPr>
          <w:rFonts w:ascii="Verdana" w:hAnsi="Verdana"/>
          <w:b/>
          <w:spacing w:val="-3"/>
          <w:sz w:val="18"/>
          <w:szCs w:val="18"/>
          <w:u w:val="single"/>
        </w:rPr>
        <w:t>2</w:t>
      </w:r>
      <w:r w:rsidR="002F0AEB">
        <w:rPr>
          <w:rFonts w:ascii="Verdana" w:hAnsi="Verdana"/>
          <w:b/>
          <w:spacing w:val="-3"/>
          <w:sz w:val="18"/>
          <w:szCs w:val="18"/>
          <w:u w:val="single"/>
        </w:rPr>
        <w:t>035</w:t>
      </w:r>
      <w:r w:rsidRPr="00984F1B">
        <w:rPr>
          <w:rFonts w:ascii="Verdana" w:hAnsi="Verdana"/>
          <w:b/>
          <w:spacing w:val="-3"/>
          <w:sz w:val="18"/>
          <w:szCs w:val="18"/>
          <w:u w:val="single"/>
        </w:rPr>
        <w:t xml:space="preserve"> roku </w:t>
      </w:r>
    </w:p>
    <w:p w14:paraId="2D867B3E"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06457B15"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4A05E738"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6B524B93" w14:textId="77777777" w:rsidR="002F0AEB" w:rsidRDefault="002F0AEB" w:rsidP="0077054D">
      <w:pPr>
        <w:autoSpaceDE w:val="0"/>
        <w:autoSpaceDN w:val="0"/>
        <w:adjustRightInd w:val="0"/>
        <w:spacing w:before="120" w:line="240" w:lineRule="auto"/>
        <w:ind w:firstLine="0"/>
        <w:jc w:val="both"/>
        <w:rPr>
          <w:rFonts w:ascii="Verdana" w:hAnsi="Verdana"/>
          <w:sz w:val="18"/>
          <w:szCs w:val="18"/>
        </w:rPr>
      </w:pPr>
    </w:p>
    <w:p w14:paraId="69ABDD20" w14:textId="5F84237D"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lastRenderedPageBreak/>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4FBA16C4" w14:textId="77777777" w:rsidR="00BF4EE3" w:rsidRDefault="00BF4EE3" w:rsidP="00F705E6">
      <w:pPr>
        <w:autoSpaceDE w:val="0"/>
        <w:autoSpaceDN w:val="0"/>
        <w:adjustRightInd w:val="0"/>
        <w:ind w:firstLine="0"/>
        <w:jc w:val="both"/>
        <w:rPr>
          <w:rFonts w:ascii="Verdana" w:hAnsi="Verdana" w:cs="FuturaMdPL-Regular"/>
          <w:b/>
          <w:color w:val="000000"/>
          <w:sz w:val="18"/>
          <w:szCs w:val="18"/>
          <w:u w:val="single"/>
        </w:rPr>
      </w:pPr>
    </w:p>
    <w:p w14:paraId="4DAEAAED" w14:textId="50906D33"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6178B3E9"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2F711B">
        <w:rPr>
          <w:rFonts w:ascii="Verdana" w:hAnsi="Verdana"/>
          <w:b/>
          <w:sz w:val="20"/>
          <w:lang w:eastAsia="ar-SA"/>
        </w:rPr>
        <w:t>16.03</w:t>
      </w:r>
      <w:r w:rsidR="006C09CE">
        <w:rPr>
          <w:rFonts w:ascii="Verdana" w:hAnsi="Verdana"/>
          <w:b/>
          <w:sz w:val="20"/>
          <w:lang w:eastAsia="ar-SA"/>
        </w:rPr>
        <w:t>.2026</w:t>
      </w:r>
      <w:r>
        <w:rPr>
          <w:rFonts w:ascii="Verdana" w:hAnsi="Verdana"/>
          <w:b/>
          <w:sz w:val="20"/>
          <w:lang w:eastAsia="ar-SA"/>
        </w:rPr>
        <w:t xml:space="preserve"> r. o godz. </w:t>
      </w:r>
      <w:r w:rsidR="002F0AEB">
        <w:rPr>
          <w:rFonts w:ascii="Verdana" w:hAnsi="Verdana"/>
          <w:b/>
          <w:sz w:val="20"/>
          <w:lang w:eastAsia="ar-SA"/>
        </w:rPr>
        <w:t>12:30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lastRenderedPageBreak/>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153C5CB1"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2F711B">
        <w:rPr>
          <w:rFonts w:ascii="Verdana" w:hAnsi="Verdana"/>
          <w:b/>
          <w:spacing w:val="-3"/>
          <w:sz w:val="18"/>
          <w:szCs w:val="18"/>
        </w:rPr>
        <w:t>27.02</w:t>
      </w:r>
      <w:r w:rsidR="006C09CE">
        <w:rPr>
          <w:rFonts w:ascii="Verdana" w:hAnsi="Verdana"/>
          <w:b/>
          <w:spacing w:val="-3"/>
          <w:sz w:val="18"/>
          <w:szCs w:val="18"/>
        </w:rPr>
        <w:t>.2026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lastRenderedPageBreak/>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14828865"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 xml:space="preserve">do dnia </w:t>
      </w:r>
      <w:r w:rsidR="002F711B">
        <w:rPr>
          <w:rFonts w:ascii="Verdana" w:hAnsi="Verdana"/>
          <w:b/>
          <w:spacing w:val="-3"/>
          <w:sz w:val="18"/>
          <w:szCs w:val="18"/>
        </w:rPr>
        <w:t>03.03</w:t>
      </w:r>
      <w:r w:rsidR="006C09CE">
        <w:rPr>
          <w:rFonts w:ascii="Verdana" w:hAnsi="Verdana"/>
          <w:b/>
          <w:spacing w:val="-3"/>
          <w:sz w:val="18"/>
          <w:szCs w:val="18"/>
        </w:rPr>
        <w:t>.2026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201A4C74"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2F711B">
        <w:rPr>
          <w:rFonts w:ascii="Verdana" w:hAnsi="Verdana"/>
          <w:b/>
          <w:sz w:val="18"/>
          <w:szCs w:val="18"/>
        </w:rPr>
        <w:t>06.03</w:t>
      </w:r>
      <w:r w:rsidR="006C09CE">
        <w:rPr>
          <w:rFonts w:ascii="Verdana" w:hAnsi="Verdana"/>
          <w:b/>
          <w:sz w:val="18"/>
          <w:szCs w:val="18"/>
        </w:rPr>
        <w:t>.2026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3EF26C0C"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6C09CE">
        <w:rPr>
          <w:rFonts w:ascii="Verdana" w:hAnsi="Verdana" w:cs="Verdana"/>
          <w:b/>
          <w:sz w:val="18"/>
          <w:szCs w:val="18"/>
        </w:rPr>
        <w:t xml:space="preserve">do dnia </w:t>
      </w:r>
      <w:r w:rsidR="002F711B">
        <w:rPr>
          <w:rFonts w:ascii="Verdana" w:hAnsi="Verdana" w:cs="Verdana"/>
          <w:b/>
          <w:sz w:val="18"/>
          <w:szCs w:val="18"/>
        </w:rPr>
        <w:t>10.03</w:t>
      </w:r>
      <w:r w:rsidR="006C09CE">
        <w:rPr>
          <w:rFonts w:ascii="Verdana" w:hAnsi="Verdana" w:cs="Verdana"/>
          <w:b/>
          <w:sz w:val="18"/>
          <w:szCs w:val="18"/>
        </w:rPr>
        <w:t>.2026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14D40CDA"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2F711B">
        <w:rPr>
          <w:rFonts w:ascii="Verdana" w:hAnsi="Verdana"/>
          <w:b/>
          <w:bCs/>
          <w:sz w:val="18"/>
          <w:szCs w:val="18"/>
        </w:rPr>
        <w:t>12.03</w:t>
      </w:r>
      <w:r w:rsidR="00BB3835">
        <w:rPr>
          <w:rFonts w:ascii="Verdana" w:hAnsi="Verdana"/>
          <w:b/>
          <w:bCs/>
          <w:sz w:val="18"/>
          <w:szCs w:val="18"/>
        </w:rPr>
        <w:t>.202</w:t>
      </w:r>
      <w:r w:rsidR="001A526E">
        <w:rPr>
          <w:rFonts w:ascii="Verdana" w:hAnsi="Verdana"/>
          <w:b/>
          <w:bCs/>
          <w:sz w:val="18"/>
          <w:szCs w:val="18"/>
        </w:rPr>
        <w:t>6</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r w:rsidRPr="00BB3835">
        <w:rPr>
          <w:rFonts w:ascii="Verdana" w:hAnsi="Verdana" w:cs="FuturaMdPL-Regular"/>
          <w:i/>
          <w:color w:val="000000"/>
          <w:sz w:val="18"/>
          <w:szCs w:val="18"/>
        </w:rPr>
        <w:t xml:space="preserve">gnrSP. W przypadku wniesienia </w:t>
      </w:r>
      <w:r w:rsidRPr="00BB3835">
        <w:rPr>
          <w:rFonts w:ascii="Verdana" w:hAnsi="Verdana" w:cs="FuturaMdPL-Regular"/>
          <w:i/>
          <w:color w:val="000000"/>
          <w:sz w:val="18"/>
          <w:szCs w:val="18"/>
        </w:rPr>
        <w:lastRenderedPageBreak/>
        <w:t xml:space="preserve">zastrzeżeń, o których mowa w art. 29 ust. 6,7 i 11 </w:t>
      </w:r>
      <w:r w:rsidRPr="00BB3835">
        <w:rPr>
          <w:rFonts w:ascii="Verdana" w:hAnsi="Verdana"/>
          <w:i/>
          <w:sz w:val="18"/>
          <w:szCs w:val="18"/>
        </w:rPr>
        <w:t xml:space="preserve">ustawy </w:t>
      </w:r>
      <w:r w:rsidRPr="00BB3835">
        <w:rPr>
          <w:rFonts w:ascii="Verdana" w:hAnsi="Verdana" w:cs="FuturaMdPL-Regular"/>
          <w:i/>
          <w:color w:val="000000"/>
          <w:sz w:val="18"/>
          <w:szCs w:val="18"/>
        </w:rPr>
        <w:t xml:space="preserve">gnrSP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lastRenderedPageBreak/>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w:t>
      </w:r>
      <w:r w:rsidRPr="00532259">
        <w:rPr>
          <w:rFonts w:ascii="Verdana" w:hAnsi="Verdana"/>
          <w:color w:val="000000"/>
          <w:sz w:val="18"/>
          <w:szCs w:val="18"/>
        </w:rPr>
        <w:lastRenderedPageBreak/>
        <w:t>będzie złożyć oświadczenie w formie aktu notarialnego o poddaniu się egzekucji w zakresie obowiązku wydania nieruchomości, stosownie do art. 777 § 1 pkt 4 ustawy z dnia 17 listopada 1964 roku Kodeks postępowania cywilnego (Dz.U.2014.101 t.j. z p.z.)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77777777"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04</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w:t>
      </w:r>
      <w:r w:rsidRPr="00E77DD8">
        <w:rPr>
          <w:rFonts w:ascii="Verdana" w:eastAsia="Calibri" w:hAnsi="Verdana"/>
          <w:spacing w:val="-3"/>
          <w:sz w:val="18"/>
          <w:szCs w:val="18"/>
          <w:lang w:eastAsia="en-US"/>
        </w:rPr>
        <w:lastRenderedPageBreak/>
        <w:t>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0C04A553"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2F711B">
        <w:rPr>
          <w:rFonts w:ascii="Verdana" w:hAnsi="Verdana"/>
          <w:sz w:val="18"/>
          <w:szCs w:val="18"/>
        </w:rPr>
        <w:t>10.02.2026</w:t>
      </w:r>
      <w:r w:rsidR="00B77DD8">
        <w:rPr>
          <w:rFonts w:ascii="Verdana" w:hAnsi="Verdana"/>
          <w:sz w:val="18"/>
          <w:szCs w:val="18"/>
        </w:rPr>
        <w:t xml:space="preserve"> r.</w:t>
      </w:r>
    </w:p>
    <w:p w14:paraId="689AAA00"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Tomasz Pucek</w:t>
      </w:r>
    </w:p>
    <w:p w14:paraId="1078BF95"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Zastępca Dyrektora </w:t>
      </w:r>
    </w:p>
    <w:p w14:paraId="035A7B18" w14:textId="77777777" w:rsidR="00E77DD8" w:rsidRPr="004755E3" w:rsidRDefault="00E77DD8" w:rsidP="00E77DD8">
      <w:pPr>
        <w:autoSpaceDE w:val="0"/>
        <w:autoSpaceDN w:val="0"/>
        <w:adjustRightInd w:val="0"/>
        <w:ind w:left="6237"/>
        <w:rPr>
          <w:rFonts w:ascii="Verdana" w:hAnsi="Verdana"/>
          <w:sz w:val="16"/>
          <w:szCs w:val="16"/>
        </w:rPr>
      </w:pPr>
      <w:r w:rsidRPr="004755E3">
        <w:rPr>
          <w:rFonts w:ascii="Verdana" w:hAnsi="Verdana"/>
          <w:sz w:val="16"/>
          <w:szCs w:val="16"/>
        </w:rPr>
        <w:t xml:space="preserve">OT KOWR w Częstochowie </w:t>
      </w:r>
    </w:p>
    <w:p w14:paraId="4130F187" w14:textId="77777777" w:rsidR="00E77DD8" w:rsidRPr="004755E3" w:rsidRDefault="00E77DD8" w:rsidP="00E77DD8">
      <w:pPr>
        <w:ind w:left="6237"/>
        <w:jc w:val="both"/>
        <w:rPr>
          <w:rFonts w:ascii="Verdana" w:hAnsi="Verdana"/>
          <w:sz w:val="18"/>
          <w:szCs w:val="18"/>
        </w:rPr>
      </w:pPr>
      <w:r w:rsidRPr="004755E3">
        <w:rPr>
          <w:rFonts w:ascii="Verdana" w:hAnsi="Verdana"/>
          <w:sz w:val="16"/>
          <w:szCs w:val="16"/>
        </w:rPr>
        <w:t>/podpisano elektronicznie/</w:t>
      </w:r>
    </w:p>
    <w:p w14:paraId="0DAEAF86" w14:textId="77777777" w:rsidR="00BE33B1" w:rsidRDefault="00BE33B1" w:rsidP="00B77DD8">
      <w:pPr>
        <w:spacing w:after="120" w:line="240" w:lineRule="auto"/>
        <w:ind w:firstLine="0"/>
        <w:rPr>
          <w:rFonts w:ascii="Verdana" w:hAnsi="Verdana"/>
          <w:sz w:val="18"/>
          <w:szCs w:val="18"/>
        </w:rPr>
      </w:pPr>
    </w:p>
    <w:p w14:paraId="0190553D" w14:textId="77777777" w:rsidR="00B77DD8" w:rsidRDefault="00B77DD8" w:rsidP="00B77DD8">
      <w:pPr>
        <w:spacing w:after="120" w:line="240" w:lineRule="auto"/>
        <w:ind w:firstLine="0"/>
        <w:rPr>
          <w:rFonts w:ascii="Verdana" w:hAnsi="Verdana"/>
          <w:sz w:val="18"/>
          <w:szCs w:val="18"/>
        </w:rPr>
      </w:pPr>
    </w:p>
    <w:p w14:paraId="1922C96C" w14:textId="77777777" w:rsidR="00B77DD8" w:rsidRDefault="00B77DD8"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6E56D73F"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2F711B">
        <w:rPr>
          <w:rFonts w:ascii="Verdana" w:hAnsi="Verdana"/>
          <w:b/>
          <w:sz w:val="16"/>
          <w:szCs w:val="16"/>
          <w:lang w:eastAsia="ar-SA"/>
        </w:rPr>
        <w:t>13.02.</w:t>
      </w:r>
      <w:r w:rsidR="00BB3835">
        <w:rPr>
          <w:rFonts w:ascii="Verdana" w:hAnsi="Verdana"/>
          <w:b/>
          <w:sz w:val="16"/>
          <w:szCs w:val="16"/>
          <w:lang w:eastAsia="ar-SA"/>
        </w:rPr>
        <w:t>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2F711B">
        <w:rPr>
          <w:rFonts w:ascii="Verdana" w:hAnsi="Verdana"/>
          <w:b/>
          <w:sz w:val="16"/>
          <w:szCs w:val="16"/>
          <w:lang w:eastAsia="ar-SA"/>
        </w:rPr>
        <w:t>16.03</w:t>
      </w:r>
      <w:r w:rsidR="00BB3835">
        <w:rPr>
          <w:rFonts w:ascii="Verdana" w:hAnsi="Verdana"/>
          <w:b/>
          <w:sz w:val="16"/>
          <w:szCs w:val="16"/>
          <w:lang w:eastAsia="ar-SA"/>
        </w:rPr>
        <w:t>.2026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2B60A47A"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2F0AEB">
        <w:rPr>
          <w:rFonts w:ascii="Verdana" w:hAnsi="Verdana"/>
          <w:sz w:val="16"/>
          <w:szCs w:val="16"/>
        </w:rPr>
        <w:t>Gminy Bobrowniki</w:t>
      </w:r>
      <w:r w:rsidR="00E65AF4" w:rsidRPr="00781F96">
        <w:rPr>
          <w:rFonts w:ascii="Verdana" w:hAnsi="Verdana"/>
          <w:sz w:val="16"/>
          <w:szCs w:val="16"/>
        </w:rPr>
        <w:t>,</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1D209A">
      <w:headerReference w:type="default" r:id="rId11"/>
      <w:footerReference w:type="default" r:id="rId12"/>
      <w:headerReference w:type="first" r:id="rId13"/>
      <w:pgSz w:w="11906" w:h="16838" w:code="9"/>
      <w:pgMar w:top="851" w:right="1080" w:bottom="0" w:left="1276"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0DB4" w14:textId="77777777" w:rsidR="0086330A" w:rsidRDefault="0086330A">
      <w:pPr>
        <w:spacing w:line="240" w:lineRule="auto"/>
      </w:pPr>
      <w:r>
        <w:separator/>
      </w:r>
    </w:p>
  </w:endnote>
  <w:endnote w:type="continuationSeparator" w:id="0">
    <w:p w14:paraId="2FAAB9FC" w14:textId="77777777" w:rsidR="0086330A" w:rsidRDefault="008633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End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3A002" w14:textId="77777777" w:rsidR="0086330A" w:rsidRDefault="0086330A">
      <w:pPr>
        <w:spacing w:line="240" w:lineRule="auto"/>
      </w:pPr>
      <w:r>
        <w:separator/>
      </w:r>
    </w:p>
  </w:footnote>
  <w:footnote w:type="continuationSeparator" w:id="0">
    <w:p w14:paraId="6290F30C" w14:textId="77777777" w:rsidR="0086330A" w:rsidRDefault="008633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526E"/>
    <w:rsid w:val="001A6818"/>
    <w:rsid w:val="001B0C43"/>
    <w:rsid w:val="001B1873"/>
    <w:rsid w:val="001B22F5"/>
    <w:rsid w:val="001B2CDB"/>
    <w:rsid w:val="001B63CF"/>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B4B24"/>
    <w:rsid w:val="002B7915"/>
    <w:rsid w:val="002B7BD1"/>
    <w:rsid w:val="002D4C66"/>
    <w:rsid w:val="002F0AEB"/>
    <w:rsid w:val="002F711B"/>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1C6D"/>
    <w:rsid w:val="00473B7B"/>
    <w:rsid w:val="0047475B"/>
    <w:rsid w:val="004779CE"/>
    <w:rsid w:val="004818AE"/>
    <w:rsid w:val="00483F18"/>
    <w:rsid w:val="00486CB8"/>
    <w:rsid w:val="00494786"/>
    <w:rsid w:val="00497DCC"/>
    <w:rsid w:val="004A0686"/>
    <w:rsid w:val="004A6CAB"/>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50C53"/>
    <w:rsid w:val="0056096C"/>
    <w:rsid w:val="0056447F"/>
    <w:rsid w:val="00580047"/>
    <w:rsid w:val="00584E0C"/>
    <w:rsid w:val="00592654"/>
    <w:rsid w:val="00593AE7"/>
    <w:rsid w:val="00594C26"/>
    <w:rsid w:val="00594DC7"/>
    <w:rsid w:val="005A135D"/>
    <w:rsid w:val="005A566E"/>
    <w:rsid w:val="005A5C6E"/>
    <w:rsid w:val="005A5FF1"/>
    <w:rsid w:val="005C6A32"/>
    <w:rsid w:val="005D0B21"/>
    <w:rsid w:val="005D448A"/>
    <w:rsid w:val="005F3C21"/>
    <w:rsid w:val="005F407C"/>
    <w:rsid w:val="006003C2"/>
    <w:rsid w:val="00610C05"/>
    <w:rsid w:val="00612494"/>
    <w:rsid w:val="006129C1"/>
    <w:rsid w:val="00616495"/>
    <w:rsid w:val="00621E1B"/>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9CE"/>
    <w:rsid w:val="006C3A19"/>
    <w:rsid w:val="006D676A"/>
    <w:rsid w:val="006E0890"/>
    <w:rsid w:val="006E0F6D"/>
    <w:rsid w:val="006F0222"/>
    <w:rsid w:val="006F1E47"/>
    <w:rsid w:val="0070132A"/>
    <w:rsid w:val="007069AA"/>
    <w:rsid w:val="007117BD"/>
    <w:rsid w:val="00711E66"/>
    <w:rsid w:val="00721074"/>
    <w:rsid w:val="007300AD"/>
    <w:rsid w:val="0073707A"/>
    <w:rsid w:val="007443D6"/>
    <w:rsid w:val="00744B62"/>
    <w:rsid w:val="00745BE8"/>
    <w:rsid w:val="00757483"/>
    <w:rsid w:val="007639F1"/>
    <w:rsid w:val="0076521C"/>
    <w:rsid w:val="00767D3B"/>
    <w:rsid w:val="0077054D"/>
    <w:rsid w:val="007746C9"/>
    <w:rsid w:val="00786BDF"/>
    <w:rsid w:val="007875EA"/>
    <w:rsid w:val="007877A4"/>
    <w:rsid w:val="007A3EE3"/>
    <w:rsid w:val="007A6803"/>
    <w:rsid w:val="007A72C0"/>
    <w:rsid w:val="007B2785"/>
    <w:rsid w:val="007B3182"/>
    <w:rsid w:val="007B6BD2"/>
    <w:rsid w:val="007C0868"/>
    <w:rsid w:val="007C23D6"/>
    <w:rsid w:val="007C7D4D"/>
    <w:rsid w:val="007D6668"/>
    <w:rsid w:val="007E0207"/>
    <w:rsid w:val="007F0584"/>
    <w:rsid w:val="007F2C3F"/>
    <w:rsid w:val="0080160A"/>
    <w:rsid w:val="008063AB"/>
    <w:rsid w:val="0080667B"/>
    <w:rsid w:val="00807763"/>
    <w:rsid w:val="0081147C"/>
    <w:rsid w:val="008120B8"/>
    <w:rsid w:val="00814002"/>
    <w:rsid w:val="00814834"/>
    <w:rsid w:val="00817750"/>
    <w:rsid w:val="00817E89"/>
    <w:rsid w:val="00822FF4"/>
    <w:rsid w:val="00826C83"/>
    <w:rsid w:val="008277FA"/>
    <w:rsid w:val="00845F6C"/>
    <w:rsid w:val="0086330A"/>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C7D98"/>
    <w:rsid w:val="008D2636"/>
    <w:rsid w:val="008D6490"/>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A39"/>
    <w:rsid w:val="00946F35"/>
    <w:rsid w:val="009522BD"/>
    <w:rsid w:val="00953AF4"/>
    <w:rsid w:val="009549F4"/>
    <w:rsid w:val="00955879"/>
    <w:rsid w:val="0096004B"/>
    <w:rsid w:val="00962C58"/>
    <w:rsid w:val="00967B14"/>
    <w:rsid w:val="00972509"/>
    <w:rsid w:val="00972920"/>
    <w:rsid w:val="009740F7"/>
    <w:rsid w:val="00974EFE"/>
    <w:rsid w:val="00977E23"/>
    <w:rsid w:val="0098089D"/>
    <w:rsid w:val="009815EB"/>
    <w:rsid w:val="0098295E"/>
    <w:rsid w:val="00982C7F"/>
    <w:rsid w:val="0098300D"/>
    <w:rsid w:val="0099152A"/>
    <w:rsid w:val="00996B48"/>
    <w:rsid w:val="009A1CD8"/>
    <w:rsid w:val="009A2342"/>
    <w:rsid w:val="009A6907"/>
    <w:rsid w:val="009B0F40"/>
    <w:rsid w:val="009B2070"/>
    <w:rsid w:val="009B4BFC"/>
    <w:rsid w:val="009C200C"/>
    <w:rsid w:val="009D2DE3"/>
    <w:rsid w:val="009D30D6"/>
    <w:rsid w:val="009D5710"/>
    <w:rsid w:val="009E0585"/>
    <w:rsid w:val="009E1467"/>
    <w:rsid w:val="009E43CC"/>
    <w:rsid w:val="009E5233"/>
    <w:rsid w:val="009E7A02"/>
    <w:rsid w:val="009F1B6C"/>
    <w:rsid w:val="009F3009"/>
    <w:rsid w:val="009F7A0A"/>
    <w:rsid w:val="00A01795"/>
    <w:rsid w:val="00A0289B"/>
    <w:rsid w:val="00A16362"/>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61994"/>
    <w:rsid w:val="00B630D9"/>
    <w:rsid w:val="00B670B3"/>
    <w:rsid w:val="00B7660E"/>
    <w:rsid w:val="00B77DD8"/>
    <w:rsid w:val="00B96145"/>
    <w:rsid w:val="00B96D14"/>
    <w:rsid w:val="00BA0C6C"/>
    <w:rsid w:val="00BA1883"/>
    <w:rsid w:val="00BB2D34"/>
    <w:rsid w:val="00BB3835"/>
    <w:rsid w:val="00BB5406"/>
    <w:rsid w:val="00BB7D29"/>
    <w:rsid w:val="00BC3AC8"/>
    <w:rsid w:val="00BD0DFE"/>
    <w:rsid w:val="00BD2C76"/>
    <w:rsid w:val="00BD61F4"/>
    <w:rsid w:val="00BD6C5C"/>
    <w:rsid w:val="00BE33B1"/>
    <w:rsid w:val="00BE348A"/>
    <w:rsid w:val="00BE4565"/>
    <w:rsid w:val="00BE5BD9"/>
    <w:rsid w:val="00BF0C8A"/>
    <w:rsid w:val="00BF1428"/>
    <w:rsid w:val="00BF4EE3"/>
    <w:rsid w:val="00BF57D9"/>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5DD"/>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43F68"/>
    <w:rsid w:val="00D5105A"/>
    <w:rsid w:val="00D510A5"/>
    <w:rsid w:val="00D73F36"/>
    <w:rsid w:val="00D74E97"/>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1F4F"/>
    <w:rsid w:val="00DF76FE"/>
    <w:rsid w:val="00E030F0"/>
    <w:rsid w:val="00E04C3D"/>
    <w:rsid w:val="00E06CD2"/>
    <w:rsid w:val="00E11574"/>
    <w:rsid w:val="00E150E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4656"/>
    <w:rsid w:val="00E65AF4"/>
    <w:rsid w:val="00E73503"/>
    <w:rsid w:val="00E75C43"/>
    <w:rsid w:val="00E77DD8"/>
    <w:rsid w:val="00E82AA9"/>
    <w:rsid w:val="00E8366C"/>
    <w:rsid w:val="00E94229"/>
    <w:rsid w:val="00E9741F"/>
    <w:rsid w:val="00EA1E8E"/>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4884"/>
    <w:rsid w:val="00F1620C"/>
    <w:rsid w:val="00F1650D"/>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03AD"/>
    <w:rsid w:val="00FD121E"/>
    <w:rsid w:val="00FD532D"/>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136</TotalTime>
  <Pages>8</Pages>
  <Words>4994</Words>
  <Characters>29966</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13</cp:revision>
  <cp:lastPrinted>2024-06-19T06:35:00Z</cp:lastPrinted>
  <dcterms:created xsi:type="dcterms:W3CDTF">2025-10-08T11:01:00Z</dcterms:created>
  <dcterms:modified xsi:type="dcterms:W3CDTF">2026-02-10T09:36:00Z</dcterms:modified>
</cp:coreProperties>
</file>